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C558D" w:rsidRPr="000C558D" w:rsidRDefault="000C558D" w:rsidP="000C558D">
      <w:pPr>
        <w:widowControl w:val="0"/>
        <w:autoSpaceDE w:val="0"/>
        <w:autoSpaceDN w:val="0"/>
        <w:spacing w:before="220"/>
        <w:ind w:firstLine="540"/>
        <w:jc w:val="both"/>
        <w:rPr>
          <w:sz w:val="28"/>
          <w:szCs w:val="28"/>
        </w:rPr>
      </w:pPr>
      <w:bookmarkStart w:id="0" w:name="P147"/>
      <w:bookmarkEnd w:id="0"/>
      <w:r w:rsidRPr="000C558D">
        <w:rPr>
          <w:sz w:val="28"/>
          <w:szCs w:val="28"/>
        </w:rPr>
        <w:t>2.6.1. Исчерпывающий перечень документов, необходимых для предоставления муниципальной услуги.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2.6.1.1. </w:t>
      </w:r>
      <w:proofErr w:type="gramStart"/>
      <w:r w:rsidRPr="000C558D">
        <w:rPr>
          <w:sz w:val="28"/>
          <w:szCs w:val="28"/>
        </w:rPr>
        <w:t>Заявление о выдаче разрешения на строительство (по форме согласно приложению №1 к настоящему административному регламенту (далее – заявление).</w:t>
      </w:r>
      <w:proofErr w:type="gramEnd"/>
      <w:r w:rsidRPr="000C558D">
        <w:rPr>
          <w:sz w:val="28"/>
          <w:szCs w:val="28"/>
        </w:rPr>
        <w:t xml:space="preserve"> </w:t>
      </w:r>
      <w:proofErr w:type="gramStart"/>
      <w:r w:rsidRPr="000C558D">
        <w:rPr>
          <w:sz w:val="28"/>
          <w:szCs w:val="28"/>
        </w:rPr>
        <w:t>Заявителю предоставляется возможность получения бланка заявления в электронном виде с помощью ЕПГУ, РПГУ (в зависимости от выбора заявителя),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w:t>
      </w:r>
      <w:proofErr w:type="gramEnd"/>
      <w:r w:rsidRPr="000C558D">
        <w:rPr>
          <w:sz w:val="28"/>
          <w:szCs w:val="28"/>
        </w:rPr>
        <w:t xml:space="preserve">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Start"/>
      <w:r w:rsidRPr="000C558D">
        <w:rPr>
          <w:sz w:val="28"/>
          <w:szCs w:val="28"/>
        </w:rPr>
        <w:t>.;</w:t>
      </w:r>
      <w:proofErr w:type="gramEnd"/>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2.6.1.2. К указанному заявлению прилагаются следующие документы:</w:t>
      </w:r>
    </w:p>
    <w:p w:rsidR="000C558D" w:rsidRPr="000C558D" w:rsidRDefault="000C558D" w:rsidP="000C558D">
      <w:pPr>
        <w:widowControl w:val="0"/>
        <w:autoSpaceDE w:val="0"/>
        <w:autoSpaceDN w:val="0"/>
        <w:spacing w:before="220"/>
        <w:ind w:firstLine="540"/>
        <w:jc w:val="both"/>
        <w:rPr>
          <w:sz w:val="28"/>
          <w:szCs w:val="28"/>
        </w:rPr>
      </w:pPr>
      <w:proofErr w:type="gramStart"/>
      <w:r w:rsidRPr="000C558D">
        <w:rPr>
          <w:sz w:val="28"/>
          <w:szCs w:val="28"/>
        </w:rPr>
        <w:t xml:space="preserve">2.6.1.2.1. правоустанавливающие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0C558D">
        <w:rPr>
          <w:rFonts w:cs="Calibri"/>
          <w:color w:val="000000"/>
          <w:sz w:val="28"/>
          <w:szCs w:val="28"/>
        </w:rPr>
        <w:t xml:space="preserve">в случае, предусмотренном </w:t>
      </w:r>
      <w:hyperlink r:id="rId5" w:history="1">
        <w:r w:rsidRPr="000C558D">
          <w:rPr>
            <w:rFonts w:cs="Calibri"/>
            <w:color w:val="000000"/>
            <w:sz w:val="28"/>
            <w:szCs w:val="28"/>
          </w:rPr>
          <w:t>частью 1.1 статьи 57.3</w:t>
        </w:r>
      </w:hyperlink>
      <w:r w:rsidRPr="000C558D">
        <w:rPr>
          <w:rFonts w:cs="Calibri"/>
          <w:color w:val="000000"/>
          <w:sz w:val="28"/>
          <w:szCs w:val="28"/>
        </w:rPr>
        <w:t xml:space="preserve"> Градостроительного кодекса Российской Федерации от 29.12.2004 г. № 190-ФЗ</w:t>
      </w:r>
      <w:proofErr w:type="gramEnd"/>
      <w:r w:rsidRPr="000C558D">
        <w:rPr>
          <w:rFonts w:cs="Calibri"/>
          <w:color w:val="000000"/>
          <w:sz w:val="28"/>
          <w:szCs w:val="28"/>
        </w:rPr>
        <w:t xml:space="preserve"> (далее - </w:t>
      </w:r>
      <w:proofErr w:type="spellStart"/>
      <w:r w:rsidRPr="000C558D">
        <w:rPr>
          <w:rFonts w:cs="Calibri"/>
          <w:color w:val="000000"/>
          <w:sz w:val="28"/>
          <w:szCs w:val="28"/>
        </w:rPr>
        <w:t>ГрК</w:t>
      </w:r>
      <w:proofErr w:type="spellEnd"/>
      <w:r w:rsidRPr="000C558D">
        <w:rPr>
          <w:rFonts w:cs="Calibri"/>
          <w:color w:val="000000"/>
          <w:sz w:val="28"/>
          <w:szCs w:val="28"/>
        </w:rPr>
        <w:t xml:space="preserve"> РФ), </w:t>
      </w:r>
      <w:r w:rsidRPr="000C558D">
        <w:rPr>
          <w:rFonts w:cs="Calibri"/>
          <w:sz w:val="28"/>
          <w:szCs w:val="28"/>
        </w:rPr>
        <w:t xml:space="preserve">если иное не установлено </w:t>
      </w:r>
      <w:hyperlink r:id="rId6" w:history="1">
        <w:r w:rsidRPr="000C558D">
          <w:rPr>
            <w:rFonts w:cs="Calibri"/>
            <w:color w:val="000000"/>
            <w:sz w:val="28"/>
            <w:szCs w:val="28"/>
          </w:rPr>
          <w:t>частью 7.3</w:t>
        </w:r>
      </w:hyperlink>
      <w:r w:rsidRPr="000C558D">
        <w:rPr>
          <w:rFonts w:cs="Calibri"/>
          <w:sz w:val="28"/>
          <w:szCs w:val="28"/>
        </w:rPr>
        <w:t xml:space="preserve"> статьи 51 </w:t>
      </w:r>
      <w:proofErr w:type="spellStart"/>
      <w:r w:rsidRPr="000C558D">
        <w:rPr>
          <w:rFonts w:cs="Calibri"/>
          <w:color w:val="000000"/>
          <w:sz w:val="28"/>
          <w:szCs w:val="28"/>
        </w:rPr>
        <w:t>ГрК</w:t>
      </w:r>
      <w:proofErr w:type="spellEnd"/>
      <w:r w:rsidRPr="000C558D">
        <w:rPr>
          <w:rFonts w:cs="Calibri"/>
          <w:color w:val="000000"/>
          <w:sz w:val="28"/>
          <w:szCs w:val="28"/>
        </w:rPr>
        <w:t xml:space="preserve"> РФ</w:t>
      </w:r>
      <w:r w:rsidRPr="000C558D">
        <w:rPr>
          <w:rFonts w:cs="Calibri"/>
          <w:sz w:val="28"/>
          <w:szCs w:val="28"/>
        </w:rPr>
        <w:t>;</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2.6.1.2.2. </w:t>
      </w:r>
      <w:proofErr w:type="gramStart"/>
      <w:r w:rsidRPr="000C558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Pr="000C558D">
        <w:rPr>
          <w:sz w:val="28"/>
          <w:szCs w:val="28"/>
        </w:rPr>
        <w:lastRenderedPageBreak/>
        <w:t>корпорацией по атомной энергии «</w:t>
      </w:r>
      <w:proofErr w:type="spellStart"/>
      <w:r w:rsidRPr="000C558D">
        <w:rPr>
          <w:sz w:val="28"/>
          <w:szCs w:val="28"/>
        </w:rPr>
        <w:t>Росатом</w:t>
      </w:r>
      <w:proofErr w:type="spellEnd"/>
      <w:r w:rsidRPr="000C558D">
        <w:rPr>
          <w:sz w:val="28"/>
          <w:szCs w:val="28"/>
        </w:rPr>
        <w:t>», Государственной корпорацией по космической деятельности «</w:t>
      </w:r>
      <w:proofErr w:type="spellStart"/>
      <w:r w:rsidRPr="000C558D">
        <w:rPr>
          <w:sz w:val="28"/>
          <w:szCs w:val="28"/>
        </w:rPr>
        <w:t>Роскосмос</w:t>
      </w:r>
      <w:proofErr w:type="spellEnd"/>
      <w:r w:rsidRPr="000C558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0C558D">
        <w:rPr>
          <w:sz w:val="28"/>
          <w:szCs w:val="28"/>
        </w:rPr>
        <w:t>;</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2.6.1.2.3. </w:t>
      </w:r>
      <w:proofErr w:type="gramStart"/>
      <w:r w:rsidRPr="000C558D">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proofErr w:type="gramEnd"/>
      <w:r w:rsidRPr="000C558D">
        <w:rPr>
          <w:sz w:val="28"/>
          <w:szCs w:val="28"/>
        </w:rPr>
        <w:t xml:space="preserve"> разрешения на строительство линейного объекта, для размещения которого не требуется образование земельного участка.</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2.6.1.2.4. Результаты инженерных изысканий и следующие материалы, содержащиеся в утвержденной проектной документации: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пояснительная записка;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архитектурные решения;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проект организации строительства объекта капитального строительства;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r w:rsidRPr="000C558D">
        <w:rPr>
          <w:sz w:val="28"/>
          <w:szCs w:val="28"/>
        </w:rPr>
        <w:lastRenderedPageBreak/>
        <w:t>других объектов капитального строительства);</w:t>
      </w:r>
    </w:p>
    <w:p w:rsidR="000C558D" w:rsidRPr="000C558D" w:rsidRDefault="000C558D" w:rsidP="000C558D">
      <w:pPr>
        <w:widowControl w:val="0"/>
        <w:autoSpaceDE w:val="0"/>
        <w:autoSpaceDN w:val="0"/>
        <w:spacing w:before="220"/>
        <w:ind w:firstLine="540"/>
        <w:jc w:val="both"/>
        <w:rPr>
          <w:sz w:val="28"/>
          <w:szCs w:val="28"/>
        </w:rPr>
      </w:pPr>
      <w:proofErr w:type="gramStart"/>
      <w:r w:rsidRPr="000C558D">
        <w:rPr>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(далее</w:t>
      </w:r>
      <w:proofErr w:type="gramEnd"/>
      <w:r w:rsidRPr="000C558D">
        <w:rPr>
          <w:sz w:val="28"/>
          <w:szCs w:val="28"/>
        </w:rPr>
        <w:t xml:space="preserve"> – </w:t>
      </w:r>
      <w:proofErr w:type="spellStart"/>
      <w:proofErr w:type="gramStart"/>
      <w:r w:rsidRPr="000C558D">
        <w:rPr>
          <w:sz w:val="28"/>
          <w:szCs w:val="28"/>
        </w:rPr>
        <w:t>ГрК</w:t>
      </w:r>
      <w:proofErr w:type="spellEnd"/>
      <w:r w:rsidRPr="000C558D">
        <w:rPr>
          <w:sz w:val="28"/>
          <w:szCs w:val="28"/>
        </w:rPr>
        <w:t xml:space="preserve"> РФ);</w:t>
      </w:r>
      <w:proofErr w:type="gramEnd"/>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2.6.1.2.5. </w:t>
      </w:r>
      <w:proofErr w:type="gramStart"/>
      <w:r w:rsidRPr="000C558D">
        <w:rPr>
          <w:sz w:val="28"/>
          <w:szCs w:val="28"/>
        </w:rPr>
        <w:t xml:space="preserve">Положительное заключение экспертизы проектной документации </w:t>
      </w:r>
      <w:r w:rsidRPr="000C558D">
        <w:rPr>
          <w:sz w:val="28"/>
          <w:szCs w:val="28"/>
        </w:rPr>
        <w:br/>
        <w:t xml:space="preserve">(в части соответствия проектной документации требованиям, указанным в пункте 1 части 5 статьи 49 </w:t>
      </w:r>
      <w:proofErr w:type="spellStart"/>
      <w:r w:rsidRPr="000C558D">
        <w:rPr>
          <w:sz w:val="28"/>
          <w:szCs w:val="28"/>
        </w:rPr>
        <w:t>ГрК</w:t>
      </w:r>
      <w:proofErr w:type="spellEnd"/>
      <w:r w:rsidRPr="000C558D">
        <w:rPr>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proofErr w:type="gramEnd"/>
      <w:r w:rsidRPr="000C558D">
        <w:rPr>
          <w:sz w:val="28"/>
          <w:szCs w:val="28"/>
        </w:rPr>
        <w:t xml:space="preserve"> 12.1 статьи 48 </w:t>
      </w:r>
      <w:proofErr w:type="spellStart"/>
      <w:r w:rsidRPr="000C558D">
        <w:rPr>
          <w:sz w:val="28"/>
          <w:szCs w:val="28"/>
        </w:rPr>
        <w:t>ГрК</w:t>
      </w:r>
      <w:proofErr w:type="spellEnd"/>
      <w:r w:rsidRPr="000C558D">
        <w:rPr>
          <w:sz w:val="28"/>
          <w:szCs w:val="28"/>
        </w:rPr>
        <w:t xml:space="preserve"> РФ, если такая проектная документация подлежит экспертизе в соответствии со статьей 49 </w:t>
      </w:r>
      <w:proofErr w:type="spellStart"/>
      <w:r w:rsidRPr="000C558D">
        <w:rPr>
          <w:sz w:val="28"/>
          <w:szCs w:val="28"/>
        </w:rPr>
        <w:t>ГрК</w:t>
      </w:r>
      <w:proofErr w:type="spellEnd"/>
      <w:r w:rsidRPr="000C558D">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0C558D">
        <w:rPr>
          <w:sz w:val="28"/>
          <w:szCs w:val="28"/>
        </w:rPr>
        <w:t>ГрК</w:t>
      </w:r>
      <w:proofErr w:type="spellEnd"/>
      <w:r w:rsidRPr="000C558D">
        <w:rPr>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0C558D">
        <w:rPr>
          <w:sz w:val="28"/>
          <w:szCs w:val="28"/>
        </w:rPr>
        <w:t>ГрК</w:t>
      </w:r>
      <w:proofErr w:type="spellEnd"/>
      <w:r w:rsidRPr="000C558D">
        <w:rPr>
          <w:sz w:val="28"/>
          <w:szCs w:val="28"/>
        </w:rPr>
        <w:t xml:space="preserve"> РФ;</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2.6.1.2.6. Подтверждение соответствия вносимых в проектную документацию изменений требованиям, указанным в части 3.8 статьи 49 </w:t>
      </w:r>
      <w:proofErr w:type="spellStart"/>
      <w:r w:rsidRPr="000C558D">
        <w:rPr>
          <w:sz w:val="28"/>
          <w:szCs w:val="28"/>
        </w:rPr>
        <w:t>ГрК</w:t>
      </w:r>
      <w:proofErr w:type="spellEnd"/>
      <w:r w:rsidRPr="000C558D">
        <w:rPr>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0C558D">
        <w:rPr>
          <w:sz w:val="28"/>
          <w:szCs w:val="28"/>
        </w:rPr>
        <w:t>ГрК</w:t>
      </w:r>
      <w:proofErr w:type="spellEnd"/>
      <w:r w:rsidRPr="000C558D">
        <w:rPr>
          <w:sz w:val="28"/>
          <w:szCs w:val="28"/>
        </w:rPr>
        <w:t xml:space="preserve"> РФ специалистом по организации архитектурн</w:t>
      </w:r>
      <w:proofErr w:type="gramStart"/>
      <w:r w:rsidRPr="000C558D">
        <w:rPr>
          <w:sz w:val="28"/>
          <w:szCs w:val="28"/>
        </w:rPr>
        <w:t>о-</w:t>
      </w:r>
      <w:proofErr w:type="gramEnd"/>
      <w:r w:rsidRPr="000C558D">
        <w:rPr>
          <w:sz w:val="28"/>
          <w:szCs w:val="28"/>
        </w:rPr>
        <w:t xml:space="preserve">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0C558D">
        <w:rPr>
          <w:sz w:val="28"/>
          <w:szCs w:val="28"/>
        </w:rPr>
        <w:t>ГрК</w:t>
      </w:r>
      <w:proofErr w:type="spellEnd"/>
      <w:r w:rsidRPr="000C558D">
        <w:rPr>
          <w:sz w:val="28"/>
          <w:szCs w:val="28"/>
        </w:rPr>
        <w:t xml:space="preserve"> РФ;</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2.6.1.2.7. </w:t>
      </w:r>
      <w:proofErr w:type="gramStart"/>
      <w:r w:rsidRPr="000C558D">
        <w:rPr>
          <w:sz w:val="28"/>
          <w:szCs w:val="28"/>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0C558D">
        <w:rPr>
          <w:sz w:val="28"/>
          <w:szCs w:val="28"/>
        </w:rPr>
        <w:t>ГрК</w:t>
      </w:r>
      <w:proofErr w:type="spellEnd"/>
      <w:r w:rsidRPr="000C558D">
        <w:rPr>
          <w:sz w:val="28"/>
          <w:szCs w:val="28"/>
        </w:rPr>
        <w:t xml:space="preserve"> РФ, предоставленное органом исполнительной власти)</w:t>
      </w:r>
      <w:r w:rsidRPr="000C558D">
        <w:rPr>
          <w:color w:val="FF0000"/>
          <w:sz w:val="28"/>
          <w:szCs w:val="28"/>
        </w:rPr>
        <w:t xml:space="preserve"> </w:t>
      </w:r>
      <w:r w:rsidRPr="000C558D">
        <w:rPr>
          <w:sz w:val="28"/>
          <w:szCs w:val="28"/>
        </w:rPr>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0C558D">
        <w:rPr>
          <w:sz w:val="28"/>
          <w:szCs w:val="28"/>
        </w:rPr>
        <w:t>ГрК</w:t>
      </w:r>
      <w:proofErr w:type="spellEnd"/>
      <w:r w:rsidRPr="000C558D">
        <w:rPr>
          <w:sz w:val="28"/>
          <w:szCs w:val="28"/>
        </w:rPr>
        <w:t xml:space="preserve"> РФ;</w:t>
      </w:r>
      <w:proofErr w:type="gramEnd"/>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2.6.1.2.8. Разрешение на отклонение от предельных параметров </w:t>
      </w:r>
      <w:r w:rsidRPr="000C558D">
        <w:rPr>
          <w:sz w:val="28"/>
          <w:szCs w:val="28"/>
        </w:rPr>
        <w:lastRenderedPageBreak/>
        <w:t xml:space="preserve">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0C558D">
        <w:rPr>
          <w:sz w:val="28"/>
          <w:szCs w:val="28"/>
        </w:rPr>
        <w:t>ГрК</w:t>
      </w:r>
      <w:proofErr w:type="spellEnd"/>
      <w:r w:rsidRPr="000C558D">
        <w:rPr>
          <w:sz w:val="28"/>
          <w:szCs w:val="28"/>
        </w:rPr>
        <w:t xml:space="preserve"> РФ);</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2.6.1.2.10. </w:t>
      </w:r>
      <w:proofErr w:type="gramStart"/>
      <w:r w:rsidRPr="000C558D">
        <w:rPr>
          <w:sz w:val="28"/>
          <w:szCs w:val="28"/>
        </w:rPr>
        <w:t>В случае проведения реконструкции государственным (муниципальным) заказчиком, являющимся органом государственной власти,</w:t>
      </w:r>
      <w:r w:rsidRPr="000C558D">
        <w:rPr>
          <w:color w:val="FF0000"/>
          <w:sz w:val="28"/>
          <w:szCs w:val="28"/>
        </w:rPr>
        <w:t xml:space="preserve"> </w:t>
      </w:r>
      <w:r w:rsidRPr="000C558D">
        <w:rPr>
          <w:sz w:val="28"/>
          <w:szCs w:val="28"/>
        </w:rPr>
        <w:t>Государственной корпорацией по атомной энергии «</w:t>
      </w:r>
      <w:proofErr w:type="spellStart"/>
      <w:r w:rsidRPr="000C558D">
        <w:rPr>
          <w:sz w:val="28"/>
          <w:szCs w:val="28"/>
        </w:rPr>
        <w:t>Росатом</w:t>
      </w:r>
      <w:proofErr w:type="spellEnd"/>
      <w:r w:rsidRPr="000C558D">
        <w:rPr>
          <w:sz w:val="28"/>
          <w:szCs w:val="28"/>
        </w:rPr>
        <w:t>», Государственной корпорацией по космической деятельности «</w:t>
      </w:r>
      <w:proofErr w:type="spellStart"/>
      <w:r w:rsidRPr="000C558D">
        <w:rPr>
          <w:sz w:val="28"/>
          <w:szCs w:val="28"/>
        </w:rPr>
        <w:t>Роскосмос</w:t>
      </w:r>
      <w:proofErr w:type="spellEnd"/>
      <w:r w:rsidRPr="000C558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w:t>
      </w:r>
      <w:proofErr w:type="gramEnd"/>
      <w:r w:rsidRPr="000C558D">
        <w:rPr>
          <w:sz w:val="28"/>
          <w:szCs w:val="28"/>
        </w:rPr>
        <w:t xml:space="preserve">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2.6.1.2.11. Решение общего собрания собственников помещений и </w:t>
      </w:r>
      <w:proofErr w:type="spellStart"/>
      <w:r w:rsidRPr="000C558D">
        <w:rPr>
          <w:sz w:val="28"/>
          <w:szCs w:val="28"/>
        </w:rPr>
        <w:t>машино</w:t>
      </w:r>
      <w:proofErr w:type="spellEnd"/>
      <w:r w:rsidRPr="000C558D">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C558D">
        <w:rPr>
          <w:sz w:val="28"/>
          <w:szCs w:val="28"/>
        </w:rPr>
        <w:t>машино</w:t>
      </w:r>
      <w:proofErr w:type="spellEnd"/>
      <w:r w:rsidRPr="000C558D">
        <w:rPr>
          <w:sz w:val="28"/>
          <w:szCs w:val="28"/>
        </w:rPr>
        <w:t xml:space="preserve">-мест в многоквартирном доме;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2.6.1.2.14. </w:t>
      </w:r>
      <w:proofErr w:type="gramStart"/>
      <w:r w:rsidRPr="000C558D">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w:t>
      </w:r>
      <w:r w:rsidRPr="000C558D">
        <w:rPr>
          <w:sz w:val="28"/>
          <w:szCs w:val="28"/>
        </w:rPr>
        <w:lastRenderedPageBreak/>
        <w:t>зона с особыми условиями использования территории или</w:t>
      </w:r>
      <w:proofErr w:type="gramEnd"/>
      <w:r w:rsidRPr="000C558D">
        <w:rPr>
          <w:sz w:val="28"/>
          <w:szCs w:val="28"/>
        </w:rPr>
        <w:t xml:space="preserve"> ранее установленная зона с особыми условиями использования территории подлежит изменению;</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2.6.1.2.15.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w:t>
      </w:r>
      <w:proofErr w:type="gramStart"/>
      <w:r w:rsidRPr="000C558D">
        <w:rPr>
          <w:sz w:val="28"/>
          <w:szCs w:val="28"/>
        </w:rPr>
        <w:t>планируется</w:t>
      </w:r>
      <w:proofErr w:type="gramEnd"/>
      <w:r w:rsidRPr="000C558D">
        <w:rPr>
          <w:sz w:val="28"/>
          <w:szCs w:val="28"/>
        </w:rPr>
        <w:t xml:space="preserve"> осуществляет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2.6.2. </w:t>
      </w:r>
      <w:proofErr w:type="gramStart"/>
      <w:r w:rsidRPr="000C558D">
        <w:rPr>
          <w:sz w:val="28"/>
          <w:szCs w:val="28"/>
        </w:rPr>
        <w:t>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0C558D" w:rsidRPr="000C558D" w:rsidRDefault="000C558D" w:rsidP="000C558D">
      <w:pPr>
        <w:widowControl w:val="0"/>
        <w:autoSpaceDE w:val="0"/>
        <w:autoSpaceDN w:val="0"/>
        <w:spacing w:before="220"/>
        <w:ind w:firstLine="540"/>
        <w:jc w:val="both"/>
        <w:rPr>
          <w:sz w:val="28"/>
          <w:szCs w:val="28"/>
        </w:rPr>
      </w:pPr>
      <w:proofErr w:type="gramStart"/>
      <w:r w:rsidRPr="000C558D">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В случае</w:t>
      </w:r>
      <w:proofErr w:type="gramStart"/>
      <w:r w:rsidRPr="000C558D">
        <w:rPr>
          <w:sz w:val="28"/>
          <w:szCs w:val="28"/>
        </w:rPr>
        <w:t>,</w:t>
      </w:r>
      <w:proofErr w:type="gramEnd"/>
      <w:r w:rsidRPr="000C558D">
        <w:rPr>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w:t>
      </w:r>
      <w:proofErr w:type="gramStart"/>
      <w:r w:rsidRPr="000C558D">
        <w:rPr>
          <w:sz w:val="28"/>
          <w:szCs w:val="28"/>
        </w:rPr>
        <w:t xml:space="preserve">за исключением сервитута, публичного сервитута), кроме земельных участков, подлежащих изъятию для государственных нужд в соответствии с </w:t>
      </w:r>
      <w:r w:rsidRPr="000C558D">
        <w:rPr>
          <w:sz w:val="28"/>
          <w:szCs w:val="28"/>
        </w:rPr>
        <w:lastRenderedPageBreak/>
        <w:t>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w:t>
      </w:r>
      <w:proofErr w:type="gramEnd"/>
      <w:r w:rsidRPr="000C558D">
        <w:rPr>
          <w:sz w:val="28"/>
          <w:szCs w:val="28"/>
        </w:rPr>
        <w:t xml:space="preserve">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2.6.3.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или выдела из земельных участков);</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0C558D" w:rsidRPr="000C558D" w:rsidRDefault="000C558D" w:rsidP="000C558D">
      <w:pPr>
        <w:widowControl w:val="0"/>
        <w:autoSpaceDE w:val="0"/>
        <w:autoSpaceDN w:val="0"/>
        <w:spacing w:before="220"/>
        <w:ind w:firstLine="540"/>
        <w:jc w:val="both"/>
        <w:rPr>
          <w:sz w:val="28"/>
          <w:szCs w:val="28"/>
        </w:rPr>
      </w:pPr>
      <w:proofErr w:type="gramStart"/>
      <w:r w:rsidRPr="000C558D">
        <w:rPr>
          <w:sz w:val="28"/>
          <w:szCs w:val="28"/>
        </w:rPr>
        <w:t xml:space="preserve">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w:t>
      </w:r>
      <w:r w:rsidRPr="000C558D">
        <w:rPr>
          <w:sz w:val="28"/>
          <w:szCs w:val="28"/>
        </w:rPr>
        <w:lastRenderedPageBreak/>
        <w:t>Кемеровской области - Кузбасса или орган местного самоуправления;</w:t>
      </w:r>
      <w:proofErr w:type="gramEnd"/>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Одновременно с уведомлениями заявитель вправе представить в уполномоченный орган копии указанных документов. В случае</w:t>
      </w:r>
      <w:proofErr w:type="gramStart"/>
      <w:r w:rsidRPr="000C558D">
        <w:rPr>
          <w:sz w:val="28"/>
          <w:szCs w:val="28"/>
        </w:rPr>
        <w:t>,</w:t>
      </w:r>
      <w:proofErr w:type="gramEnd"/>
      <w:r w:rsidRPr="000C558D">
        <w:rPr>
          <w:sz w:val="28"/>
          <w:szCs w:val="28"/>
        </w:rPr>
        <w:t xml:space="preserve">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Примерная форма уведомления приведена в приложении № 2 к настоящему административному регламенту.</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2.6.4. В целях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2.6.1.2 пункта 2.6 настоящего административного регламента.</w:t>
      </w:r>
    </w:p>
    <w:p w:rsidR="000C558D" w:rsidRPr="000C558D" w:rsidRDefault="000C558D" w:rsidP="000C558D">
      <w:pPr>
        <w:widowControl w:val="0"/>
        <w:autoSpaceDE w:val="0"/>
        <w:autoSpaceDN w:val="0"/>
        <w:spacing w:before="220"/>
        <w:ind w:firstLine="540"/>
        <w:jc w:val="both"/>
        <w:rPr>
          <w:sz w:val="28"/>
          <w:szCs w:val="28"/>
        </w:rPr>
      </w:pPr>
      <w:r w:rsidRPr="000C558D">
        <w:rPr>
          <w:rFonts w:cs="Calibri"/>
          <w:sz w:val="28"/>
          <w:szCs w:val="28"/>
        </w:rPr>
        <w:t>Примерная форма заявления о внесении изменений в разрешение на строительство приведена в приложении № 3 к настоящему административному регламенту.</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Представление указанных документов осуществляется по правилам, установленным пунктом 2.6.2 настоящего административного регламента. </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 xml:space="preserve">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подпунктом 2.6.1.2 пункта 2.6 настоящего административного регламента, могут быть направлены в форме электронных документов посредством ЕПГУ, РПГУ (при наличии технической возможности). Решение о внесении изменений в разрешение на строительство или об отказе во внесении изменений в </w:t>
      </w:r>
      <w:r w:rsidRPr="000C558D">
        <w:rPr>
          <w:sz w:val="28"/>
          <w:szCs w:val="28"/>
        </w:rPr>
        <w:lastRenderedPageBreak/>
        <w:t>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0C558D" w:rsidRPr="000C558D" w:rsidRDefault="000C558D" w:rsidP="000C558D">
      <w:pPr>
        <w:widowControl w:val="0"/>
        <w:autoSpaceDE w:val="0"/>
        <w:autoSpaceDN w:val="0"/>
        <w:spacing w:before="220"/>
        <w:ind w:firstLine="540"/>
        <w:jc w:val="both"/>
        <w:rPr>
          <w:sz w:val="28"/>
          <w:szCs w:val="28"/>
        </w:rPr>
      </w:pPr>
      <w:r w:rsidRPr="000C558D">
        <w:rPr>
          <w:sz w:val="28"/>
          <w:szCs w:val="28"/>
        </w:rPr>
        <w:t>Заявление о продлении срока действия разрешения на строительство может быть подано через МФЦ в соответствии с соглашением о взаимодействии между МФЦ и уполномоченным органом.</w:t>
      </w:r>
    </w:p>
    <w:p w:rsidR="00243EF8" w:rsidRPr="00DE7069" w:rsidRDefault="00243EF8" w:rsidP="00DE7069">
      <w:bookmarkStart w:id="1" w:name="_GoBack"/>
      <w:bookmarkEnd w:id="1"/>
    </w:p>
    <w:sectPr w:rsidR="00243EF8" w:rsidRPr="00DE7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06"/>
    <w:rsid w:val="000C558D"/>
    <w:rsid w:val="00243EF8"/>
    <w:rsid w:val="002E0F11"/>
    <w:rsid w:val="005078EB"/>
    <w:rsid w:val="00573E1C"/>
    <w:rsid w:val="007538DD"/>
    <w:rsid w:val="009C3D1F"/>
    <w:rsid w:val="00A02D06"/>
    <w:rsid w:val="00AA34A9"/>
    <w:rsid w:val="00B56D5C"/>
    <w:rsid w:val="00DE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8E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078E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8E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078E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98F1D2F87F275C3A741A6837C9A47C0F6CE16299821D950DF8D587BC5767CDE08D1B3079931FDE0BA6F819981F54A4F35668BA105658lBE" TargetMode="External"/><Relationship Id="rId5" Type="http://schemas.openxmlformats.org/officeDocument/2006/relationships/hyperlink" Target="consultantplus://offline/ref=63C2D145DE8BC434605CD9D776A2161D42CC2B583AA61DA6700109E3D42ED4C8BC8DC31351687577CA3AFED8E78593CF89696E92932AsAl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Шипилова Татьяна Викторовна</dc:creator>
  <cp:lastModifiedBy>Шипилова Татьяна Викторовна</cp:lastModifiedBy>
  <cp:revision>3</cp:revision>
  <dcterms:created xsi:type="dcterms:W3CDTF">2021-06-18T06:58:00Z</dcterms:created>
  <dcterms:modified xsi:type="dcterms:W3CDTF">2021-06-18T07:02:00Z</dcterms:modified>
</cp:coreProperties>
</file>