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28" w:rsidRPr="00FC7728" w:rsidRDefault="00FC7728" w:rsidP="00FC77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Выборы депутатов Совета народных депутатов</w:t>
      </w:r>
    </w:p>
    <w:p w:rsidR="00FC7728" w:rsidRPr="00FC7728" w:rsidRDefault="00FC7728" w:rsidP="00FC772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Калтанского городского округа шестого созыва</w:t>
      </w:r>
    </w:p>
    <w:p w:rsidR="00FC7728" w:rsidRPr="00FC7728" w:rsidRDefault="00FC7728" w:rsidP="00FC772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C7728" w:rsidRPr="00FC7728" w:rsidRDefault="00FC7728" w:rsidP="00FC7728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C7728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r w:rsidRPr="00FC7728">
        <w:rPr>
          <w:rFonts w:ascii="Times New Roman" w:eastAsia="Times New Roman" w:hAnsi="Times New Roman" w:cs="Times New Roman"/>
          <w:color w:val="auto"/>
          <w:sz w:val="28"/>
          <w:szCs w:val="28"/>
        </w:rPr>
        <w:t>– Кузбасс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</w:pPr>
      <w:r w:rsidRPr="00FC7728">
        <w:rPr>
          <w:rFonts w:ascii="Times New Roman" w:eastAsia="Times New Roman" w:hAnsi="Times New Roman" w:cs="Times New Roman"/>
        </w:rPr>
        <w:t>Калтанский городского округ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FC7728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FC7728" w:rsidRPr="00FC7728" w:rsidRDefault="00FC7728" w:rsidP="00FC7728">
      <w:pPr>
        <w:keepNext/>
        <w:keepLines/>
        <w:pBdr>
          <w:bottom w:val="double" w:sz="12" w:space="0" w:color="auto"/>
        </w:pBdr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</w:pPr>
      <w:r w:rsidRPr="00FC7728">
        <w:rPr>
          <w:rFonts w:ascii="Times New Roman" w:eastAsiaTheme="majorEastAsia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7B6C8E" w:rsidRDefault="007B6C8E" w:rsidP="00FC772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</w:pPr>
    </w:p>
    <w:p w:rsidR="00FC7728" w:rsidRPr="00FC7728" w:rsidRDefault="00FC7728" w:rsidP="00FC772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</w:pPr>
      <w:r w:rsidRPr="00FC7728">
        <w:rPr>
          <w:rFonts w:ascii="Times New Roman" w:eastAsiaTheme="minorHAnsi" w:hAnsi="Times New Roman" w:cs="Times New Roman"/>
          <w:b/>
          <w:color w:val="auto"/>
          <w:sz w:val="36"/>
          <w:szCs w:val="22"/>
          <w:lang w:eastAsia="en-US"/>
        </w:rPr>
        <w:t xml:space="preserve">РЕШЕНИЕ  </w:t>
      </w:r>
    </w:p>
    <w:p w:rsidR="00561A15" w:rsidRPr="00751C9C" w:rsidRDefault="00561A15" w:rsidP="00561A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15" w:rsidRDefault="003125BC" w:rsidP="00561A15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«2</w:t>
      </w:r>
      <w:r w:rsidR="00FC7728">
        <w:rPr>
          <w:rFonts w:ascii="Times New Roman" w:hAnsi="Times New Roman" w:cs="Times New Roman"/>
          <w:b/>
          <w:sz w:val="28"/>
          <w:szCs w:val="26"/>
        </w:rPr>
        <w:t>2</w:t>
      </w:r>
      <w:r w:rsidR="00561A15">
        <w:rPr>
          <w:rFonts w:ascii="Times New Roman" w:hAnsi="Times New Roman" w:cs="Times New Roman"/>
          <w:b/>
          <w:sz w:val="28"/>
          <w:szCs w:val="26"/>
        </w:rPr>
        <w:t xml:space="preserve">» сентября 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 xml:space="preserve"> 20</w:t>
      </w:r>
      <w:r w:rsidR="00FC7728">
        <w:rPr>
          <w:rFonts w:ascii="Times New Roman" w:hAnsi="Times New Roman" w:cs="Times New Roman"/>
          <w:b/>
          <w:sz w:val="28"/>
          <w:szCs w:val="26"/>
        </w:rPr>
        <w:t>21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</w:r>
      <w:r w:rsidR="00561A15">
        <w:rPr>
          <w:rFonts w:ascii="Times New Roman" w:hAnsi="Times New Roman" w:cs="Times New Roman"/>
          <w:b/>
          <w:sz w:val="28"/>
          <w:szCs w:val="26"/>
        </w:rPr>
        <w:tab/>
        <w:t xml:space="preserve">№  </w:t>
      </w:r>
      <w:r w:rsidR="00B943BC">
        <w:rPr>
          <w:rFonts w:ascii="Times New Roman" w:hAnsi="Times New Roman" w:cs="Times New Roman"/>
          <w:b/>
          <w:sz w:val="28"/>
          <w:szCs w:val="26"/>
        </w:rPr>
        <w:t>13</w:t>
      </w:r>
      <w:r w:rsidR="00425773">
        <w:rPr>
          <w:rFonts w:ascii="Times New Roman" w:hAnsi="Times New Roman" w:cs="Times New Roman"/>
          <w:b/>
          <w:sz w:val="28"/>
          <w:szCs w:val="26"/>
        </w:rPr>
        <w:t>1</w:t>
      </w:r>
      <w:r w:rsidR="00561A15" w:rsidRPr="0011396D">
        <w:rPr>
          <w:rFonts w:ascii="Times New Roman" w:hAnsi="Times New Roman" w:cs="Times New Roman"/>
          <w:b/>
          <w:sz w:val="28"/>
          <w:szCs w:val="26"/>
        </w:rPr>
        <w:tab/>
      </w:r>
    </w:p>
    <w:p w:rsidR="007B6C8E" w:rsidRDefault="007B6C8E" w:rsidP="00561A15">
      <w:pPr>
        <w:rPr>
          <w:rFonts w:ascii="Times New Roman" w:hAnsi="Times New Roman" w:cs="Times New Roman"/>
          <w:b/>
          <w:sz w:val="28"/>
          <w:szCs w:val="26"/>
        </w:rPr>
      </w:pPr>
    </w:p>
    <w:p w:rsidR="00B943BC" w:rsidRDefault="00352298" w:rsidP="00B943BC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О</w:t>
      </w:r>
      <w:r w:rsidR="00B943BC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</w:t>
      </w:r>
      <w:r w:rsidR="00425773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результатах</w:t>
      </w:r>
      <w:r w:rsidR="00B943BC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 выборов депутатов Совета народных депутатов Калтанского городского округа шестого созыва </w:t>
      </w:r>
    </w:p>
    <w:p w:rsidR="00B943BC" w:rsidRDefault="00B943BC" w:rsidP="00B943BC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по </w:t>
      </w:r>
      <w:r w:rsidR="00425773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единому избирательно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м</w:t>
      </w:r>
      <w:r w:rsidR="00425773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 округ</w:t>
      </w:r>
      <w:r w:rsidR="00425773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у</w:t>
      </w:r>
    </w:p>
    <w:p w:rsidR="00425773" w:rsidRPr="00456FFD" w:rsidRDefault="00425773" w:rsidP="00B943BC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/>
        </w:rPr>
        <w:t>19 сентября 2021 года</w:t>
      </w:r>
    </w:p>
    <w:p w:rsidR="00B943BC" w:rsidRDefault="00B943BC" w:rsidP="00B943BC">
      <w:pPr>
        <w:pStyle w:val="a3"/>
        <w:ind w:firstLine="709"/>
        <w:jc w:val="both"/>
        <w:rPr>
          <w:bCs w:val="0"/>
          <w:sz w:val="24"/>
          <w:szCs w:val="24"/>
        </w:rPr>
      </w:pPr>
    </w:p>
    <w:p w:rsidR="00B943BC" w:rsidRPr="000F12A8" w:rsidRDefault="00B943BC" w:rsidP="00B943BC">
      <w:pPr>
        <w:pStyle w:val="a3"/>
        <w:ind w:firstLine="709"/>
        <w:jc w:val="both"/>
        <w:rPr>
          <w:bCs w:val="0"/>
          <w:sz w:val="24"/>
          <w:szCs w:val="24"/>
        </w:rPr>
      </w:pPr>
    </w:p>
    <w:p w:rsidR="00B943BC" w:rsidRDefault="00425773" w:rsidP="00B943BC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Руководствуясь статьями 69, 70, 72 Федерального закона «Об основных гарантиях избирательных прав и права на участие в референдуме граждан Российской Федерации», статьями 61, 62, 64, 66, 87, 88 </w:t>
      </w:r>
      <w:r w:rsidR="00B943BC">
        <w:rPr>
          <w:rFonts w:ascii="Times New Roman" w:hAnsi="Times New Roman"/>
          <w:sz w:val="28"/>
          <w:szCs w:val="28"/>
        </w:rPr>
        <w:t xml:space="preserve"> Закона Кемеровской области </w:t>
      </w:r>
      <w:r w:rsidR="00B943BC" w:rsidRPr="00FC7728">
        <w:rPr>
          <w:rFonts w:ascii="Times New Roman" w:hAnsi="Times New Roman"/>
          <w:sz w:val="28"/>
          <w:szCs w:val="28"/>
        </w:rPr>
        <w:t>от 30.05.2011 № 54-ОЗ « О выборах в органы местного самоуправления в Кемеровской области</w:t>
      </w:r>
      <w:r w:rsidR="00B943BC">
        <w:rPr>
          <w:rFonts w:ascii="Times New Roman" w:hAnsi="Times New Roman"/>
          <w:sz w:val="28"/>
          <w:szCs w:val="28"/>
        </w:rPr>
        <w:t xml:space="preserve"> - Кузбасса</w:t>
      </w:r>
      <w:r w:rsidR="00B943BC" w:rsidRPr="00FC7728">
        <w:rPr>
          <w:rFonts w:ascii="Times New Roman" w:hAnsi="Times New Roman"/>
          <w:sz w:val="28"/>
          <w:szCs w:val="28"/>
        </w:rPr>
        <w:t>»</w:t>
      </w:r>
      <w:r w:rsidR="00B943BC">
        <w:rPr>
          <w:rFonts w:ascii="Times New Roman" w:hAnsi="Times New Roman"/>
          <w:sz w:val="28"/>
          <w:szCs w:val="28"/>
        </w:rPr>
        <w:t xml:space="preserve">  И</w:t>
      </w:r>
      <w:r w:rsidR="00B943BC" w:rsidRPr="000F12A8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="00B943BC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B943BC" w:rsidRPr="00223BCB">
        <w:t xml:space="preserve"> </w:t>
      </w:r>
      <w:r w:rsidRPr="00425773">
        <w:rPr>
          <w:rFonts w:ascii="Times New Roman" w:hAnsi="Times New Roman" w:cs="Times New Roman"/>
          <w:sz w:val="28"/>
          <w:szCs w:val="28"/>
        </w:rPr>
        <w:t>установила следующее</w:t>
      </w:r>
    </w:p>
    <w:p w:rsidR="00425773" w:rsidRDefault="00425773" w:rsidP="00425773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257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голосовании на выборах </w:t>
      </w:r>
      <w:r w:rsidRPr="00425773">
        <w:rPr>
          <w:rFonts w:ascii="Times New Roman" w:hAnsi="Times New Roman" w:cs="Times New Roman"/>
          <w:sz w:val="28"/>
          <w:szCs w:val="28"/>
        </w:rPr>
        <w:t>депутатов Совета народных депутатов Калтанского городского округа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 19 сентября 2021 года приняло участие избирателей 17 365 (77, 44 % от числа избирателей, включенных в список изб</w:t>
      </w:r>
      <w:r w:rsidR="007B6C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рателей, на момент окончания голосования). На основании статьи 69</w:t>
      </w:r>
      <w:r w:rsidRPr="00425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статей 61, 62,  87 Закона Кемеровской области </w:t>
      </w:r>
      <w:r w:rsidRPr="00FC7728">
        <w:rPr>
          <w:rFonts w:ascii="Times New Roman" w:hAnsi="Times New Roman"/>
          <w:sz w:val="28"/>
          <w:szCs w:val="28"/>
        </w:rPr>
        <w:t>от 30.05.2011 № 54-ОЗ « О выборах в органы местного самоуправления в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FC77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членами Избирательной комиссии Калтанского городского округа с правом решающего голоса определены результаты  выборов, составлены соответствующий протокол и сводная таблица.</w:t>
      </w:r>
    </w:p>
    <w:p w:rsidR="00754107" w:rsidRDefault="00425773" w:rsidP="003006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</w:t>
      </w:r>
      <w:r w:rsidRPr="00425773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, 88</w:t>
      </w:r>
      <w:r w:rsidRPr="00425773">
        <w:rPr>
          <w:rFonts w:ascii="Times New Roman" w:hAnsi="Times New Roman"/>
          <w:sz w:val="28"/>
          <w:szCs w:val="28"/>
        </w:rPr>
        <w:t xml:space="preserve"> Закона Кемеровской области от 30.05.2011 № 54-ОЗ « О выборах в органы местного самоуправления в Кемеровской области - Кузбасса»</w:t>
      </w:r>
      <w:r w:rsidR="003006E7">
        <w:rPr>
          <w:rFonts w:ascii="Times New Roman" w:hAnsi="Times New Roman"/>
          <w:sz w:val="28"/>
          <w:szCs w:val="28"/>
        </w:rPr>
        <w:t xml:space="preserve">, на основании протокола о результатах </w:t>
      </w:r>
      <w:r w:rsidR="003006E7">
        <w:rPr>
          <w:rFonts w:ascii="Times New Roman" w:hAnsi="Times New Roman"/>
          <w:sz w:val="28"/>
          <w:szCs w:val="28"/>
        </w:rPr>
        <w:lastRenderedPageBreak/>
        <w:t xml:space="preserve">выборов Избирательной комиссии Калтанского городского округа Комиссия отмечает, что, с учетом методики пропорционального распределения депутатских мандатов, голоса избирателей, проголосовавших на выборах </w:t>
      </w:r>
      <w:r w:rsidR="003006E7" w:rsidRPr="003006E7">
        <w:rPr>
          <w:rFonts w:ascii="Times New Roman" w:hAnsi="Times New Roman"/>
          <w:sz w:val="28"/>
          <w:szCs w:val="28"/>
        </w:rPr>
        <w:t>депутатов Совета народных депутатов Калтанского городского округа шестого созыва</w:t>
      </w:r>
      <w:r w:rsidR="003006E7">
        <w:rPr>
          <w:rFonts w:ascii="Times New Roman" w:hAnsi="Times New Roman"/>
          <w:sz w:val="28"/>
          <w:szCs w:val="28"/>
        </w:rPr>
        <w:t xml:space="preserve"> распределились согласно Приложению.</w:t>
      </w:r>
    </w:p>
    <w:p w:rsidR="0032656D" w:rsidRDefault="003006E7" w:rsidP="003006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статьи 93 </w:t>
      </w:r>
      <w:r w:rsidRPr="003006E7">
        <w:rPr>
          <w:rFonts w:ascii="Times New Roman" w:hAnsi="Times New Roman"/>
          <w:sz w:val="28"/>
          <w:szCs w:val="28"/>
        </w:rPr>
        <w:t>Закона Кемеровской области от 30.05.2011 № 54-ОЗ « О выборах в органы местного самоуправления в Кемеровской области - Кузбасса»</w:t>
      </w:r>
      <w:r>
        <w:rPr>
          <w:rFonts w:ascii="Times New Roman" w:hAnsi="Times New Roman"/>
          <w:sz w:val="28"/>
          <w:szCs w:val="28"/>
        </w:rPr>
        <w:t xml:space="preserve"> до распределения депутатских мандатов внутри единого списка кандидатов из распределения исключаются избранные депутатами </w:t>
      </w:r>
      <w:r w:rsidRPr="003006E7">
        <w:rPr>
          <w:rFonts w:ascii="Times New Roman" w:hAnsi="Times New Roman"/>
          <w:sz w:val="28"/>
          <w:szCs w:val="28"/>
        </w:rPr>
        <w:t>Совета народных депутатов Калтанского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одномандатным избирательным округам зарегистрированные кандидаты, включенные в единый список кандидатов, которым в соответствии с порядком их размещения в едином списке кандидатов причитались депутатские мандаты, о чем они незамедлительно уведомляются Избирательной комиссией Калтанского городского округа.</w:t>
      </w:r>
    </w:p>
    <w:p w:rsidR="003006E7" w:rsidRDefault="0032656D" w:rsidP="00326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Соответственно статьи 72 Федерального закона «Об основных гарантиях избирательных прав и права на участие в референдуме граждан Российской Федерации», статьи 64 Закона Кемеровской области </w:t>
      </w:r>
      <w:r w:rsidRPr="00FC7728">
        <w:rPr>
          <w:rFonts w:ascii="Times New Roman" w:hAnsi="Times New Roman"/>
          <w:sz w:val="28"/>
          <w:szCs w:val="28"/>
        </w:rPr>
        <w:t>от 30.05.2011 № 54-ОЗ « О выборах в органы местного самоуправления в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FC77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проводившая регистрацию единых списков кандидатов Избирательная комиссия Калтанского городского округа, определяющая результаты выборов депутатов </w:t>
      </w:r>
      <w:r w:rsidRPr="003006E7">
        <w:rPr>
          <w:rFonts w:ascii="Times New Roman" w:hAnsi="Times New Roman"/>
          <w:sz w:val="28"/>
          <w:szCs w:val="28"/>
        </w:rPr>
        <w:t>Совета народных депутатов Калтанского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шестого созыва, направляет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выборов. Официальное опубликование результатов выборов и данных о числе голосов избирателей, полученных каждым из списков кандидатов, осуществляется не позднее чем через один месяц со дня голосования.</w:t>
      </w:r>
    </w:p>
    <w:p w:rsidR="0032656D" w:rsidRDefault="0032656D" w:rsidP="003265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 статьи 66 </w:t>
      </w:r>
      <w:r w:rsidRPr="0032656D">
        <w:rPr>
          <w:rFonts w:ascii="Times New Roman" w:hAnsi="Times New Roman"/>
          <w:sz w:val="28"/>
          <w:szCs w:val="28"/>
        </w:rPr>
        <w:t>Закона Кемеровской области от 30.05.2011 № 54-ОЗ « О выборах в органы местного самоуправления в Кемеровской области - Кузбасса»</w:t>
      </w:r>
      <w:r>
        <w:rPr>
          <w:rFonts w:ascii="Times New Roman" w:hAnsi="Times New Roman"/>
          <w:sz w:val="28"/>
          <w:szCs w:val="28"/>
        </w:rPr>
        <w:t xml:space="preserve"> определено, что Избирательная комиссия после подписания протокола о результатах выборов незамедлительно извещает об этом зарегистрированного кандидата, избранного депутатом, после чего кандидат обязан в пятидневный срок представить в соответствующую избирательную комиссию копию приказа (иного документа) об освобождении от обязанностей,  не совместимых со статусом депутата, либо копию документа, удостоверяющего, что им в трехдневный срок со дня получения извещения было подано заявление об освобождении от таких обязанностей, пунктом 5 указанной выше статьи после официального опубликования общих результатов выборов и представления документов избранным депутатом </w:t>
      </w:r>
      <w:r w:rsidR="00C90160">
        <w:rPr>
          <w:rFonts w:ascii="Times New Roman" w:hAnsi="Times New Roman"/>
          <w:sz w:val="28"/>
          <w:szCs w:val="28"/>
        </w:rPr>
        <w:t>Избирательной комиссией Калтанского городского округа обязывается зарегистрировать избранного депутата, выдать удостоверение установленного образца</w:t>
      </w:r>
      <w:r w:rsidR="00740E54">
        <w:rPr>
          <w:rFonts w:ascii="Times New Roman" w:hAnsi="Times New Roman"/>
          <w:sz w:val="28"/>
          <w:szCs w:val="28"/>
        </w:rPr>
        <w:t>.</w:t>
      </w:r>
    </w:p>
    <w:p w:rsidR="00740E54" w:rsidRDefault="00740E54" w:rsidP="00740E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Избирательная комиссия Калтанского </w:t>
      </w:r>
      <w:r>
        <w:rPr>
          <w:rFonts w:ascii="Times New Roman" w:hAnsi="Times New Roman"/>
          <w:sz w:val="28"/>
          <w:szCs w:val="28"/>
        </w:rPr>
        <w:lastRenderedPageBreak/>
        <w:t>городского округа</w:t>
      </w:r>
    </w:p>
    <w:p w:rsidR="00740E54" w:rsidRPr="003006E7" w:rsidRDefault="00740E54" w:rsidP="003265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773" w:rsidRDefault="00425773" w:rsidP="00561A15">
      <w:pPr>
        <w:ind w:firstLine="709"/>
        <w:jc w:val="both"/>
      </w:pPr>
    </w:p>
    <w:p w:rsidR="00425773" w:rsidRDefault="00425773" w:rsidP="00561A15">
      <w:pPr>
        <w:ind w:firstLine="709"/>
        <w:jc w:val="both"/>
      </w:pPr>
    </w:p>
    <w:p w:rsidR="00561A15" w:rsidRDefault="00561A15" w:rsidP="00561A1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E212B">
        <w:rPr>
          <w:rFonts w:ascii="Times New Roman" w:hAnsi="Times New Roman" w:cs="Times New Roman"/>
          <w:b/>
          <w:sz w:val="28"/>
        </w:rPr>
        <w:t>РЕШИЛА</w:t>
      </w:r>
      <w:r>
        <w:rPr>
          <w:rFonts w:ascii="Times New Roman" w:hAnsi="Times New Roman" w:cs="Times New Roman"/>
          <w:b/>
          <w:sz w:val="28"/>
        </w:rPr>
        <w:t>:</w:t>
      </w:r>
    </w:p>
    <w:p w:rsidR="00561A15" w:rsidRDefault="00561A15" w:rsidP="00561A15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40E54" w:rsidRPr="00740E54" w:rsidRDefault="00740E54" w:rsidP="00740E54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Утвердить протокол </w:t>
      </w:r>
      <w:r>
        <w:rPr>
          <w:rFonts w:ascii="Times New Roman" w:hAnsi="Times New Roman"/>
          <w:sz w:val="28"/>
          <w:szCs w:val="28"/>
        </w:rPr>
        <w:t xml:space="preserve">Избирательной комиссии Калтанского городского округа о результатах выборов </w:t>
      </w:r>
      <w:r w:rsidRPr="000F12A8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Совета народных депутатов Калтанского городского округа шестого созыва по единому избирательному округу.</w:t>
      </w:r>
    </w:p>
    <w:p w:rsidR="00B943BC" w:rsidRPr="00740E54" w:rsidRDefault="00B943BC" w:rsidP="00740E54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E5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Признать выборы </w:t>
      </w:r>
      <w:r w:rsidRPr="00740E54">
        <w:rPr>
          <w:rFonts w:ascii="Times New Roman" w:hAnsi="Times New Roman"/>
          <w:sz w:val="28"/>
          <w:szCs w:val="28"/>
        </w:rPr>
        <w:t xml:space="preserve">депутатов Совета народных депутатов Калтанского городского округа шестого созыва </w:t>
      </w:r>
      <w:r w:rsidR="00740E54" w:rsidRPr="00740E54">
        <w:rPr>
          <w:rFonts w:ascii="Times New Roman" w:hAnsi="Times New Roman"/>
          <w:sz w:val="28"/>
          <w:szCs w:val="28"/>
        </w:rPr>
        <w:t xml:space="preserve">по единому избирательному округу Калтанского городского округа </w:t>
      </w:r>
      <w:r w:rsidRPr="00740E54">
        <w:rPr>
          <w:rFonts w:ascii="Times New Roman" w:hAnsi="Times New Roman"/>
          <w:sz w:val="28"/>
          <w:szCs w:val="28"/>
        </w:rPr>
        <w:t>действительными и состоявшимися.</w:t>
      </w:r>
    </w:p>
    <w:p w:rsidR="00740E54" w:rsidRPr="00F42060" w:rsidRDefault="00740E54" w:rsidP="00F42060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Признать допущенными к распределению депутатских мандатов</w:t>
      </w:r>
      <w:r w:rsidR="00F42060" w:rsidRPr="00F42060">
        <w:rPr>
          <w:rFonts w:ascii="Times New Roman" w:hAnsi="Times New Roman"/>
          <w:sz w:val="28"/>
          <w:szCs w:val="28"/>
        </w:rPr>
        <w:t xml:space="preserve"> </w:t>
      </w:r>
      <w:r w:rsidR="00F42060" w:rsidRPr="00740E54">
        <w:rPr>
          <w:rFonts w:ascii="Times New Roman" w:hAnsi="Times New Roman"/>
          <w:sz w:val="28"/>
          <w:szCs w:val="28"/>
        </w:rPr>
        <w:t>Совета народных депутатов Калтанского городского округа шестого созыва</w:t>
      </w:r>
      <w:r w:rsidR="00F42060">
        <w:rPr>
          <w:rFonts w:ascii="Times New Roman" w:hAnsi="Times New Roman"/>
          <w:sz w:val="28"/>
          <w:szCs w:val="28"/>
        </w:rPr>
        <w:t xml:space="preserve"> следующие избирательные объединения:</w:t>
      </w:r>
    </w:p>
    <w:p w:rsidR="00F42060" w:rsidRDefault="00F42060" w:rsidP="00F42060">
      <w:pPr>
        <w:pStyle w:val="a7"/>
        <w:numPr>
          <w:ilvl w:val="0"/>
          <w:numId w:val="8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F42060">
        <w:rPr>
          <w:rFonts w:ascii="Times New Roman" w:hAnsi="Times New Roman"/>
          <w:sz w:val="28"/>
          <w:szCs w:val="28"/>
        </w:rPr>
        <w:t>Всероссийская политическая партия «ЕДИНАЯ РОССИЯ»</w:t>
      </w:r>
      <w:r>
        <w:rPr>
          <w:rFonts w:ascii="Times New Roman" w:hAnsi="Times New Roman"/>
          <w:sz w:val="28"/>
          <w:szCs w:val="28"/>
        </w:rPr>
        <w:t>;</w:t>
      </w:r>
    </w:p>
    <w:p w:rsidR="00F42060" w:rsidRPr="00F42060" w:rsidRDefault="00F42060" w:rsidP="00F42060">
      <w:pPr>
        <w:pStyle w:val="a7"/>
        <w:numPr>
          <w:ilvl w:val="0"/>
          <w:numId w:val="8"/>
        </w:numPr>
        <w:ind w:left="0" w:firstLine="993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F42060">
        <w:rPr>
          <w:rFonts w:ascii="Times New Roman" w:hAnsi="Times New Roman"/>
          <w:sz w:val="28"/>
          <w:szCs w:val="28"/>
        </w:rPr>
        <w:t>Политическая партия ЛДПР – Либерально-демократическая партия России</w:t>
      </w:r>
      <w:r>
        <w:rPr>
          <w:rFonts w:ascii="Times New Roman" w:hAnsi="Times New Roman"/>
          <w:sz w:val="28"/>
          <w:szCs w:val="28"/>
        </w:rPr>
        <w:t>;</w:t>
      </w:r>
    </w:p>
    <w:p w:rsidR="00F42060" w:rsidRPr="00F42060" w:rsidRDefault="00D81CDE" w:rsidP="00F42060">
      <w:pPr>
        <w:pStyle w:val="a7"/>
        <w:numPr>
          <w:ilvl w:val="0"/>
          <w:numId w:val="8"/>
        </w:numPr>
        <w:ind w:left="0" w:firstLine="993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Социалистическая политическая партия</w:t>
      </w:r>
      <w:r w:rsidRPr="005E136E">
        <w:rPr>
          <w:rFonts w:ascii="Times New Roman" w:eastAsia="Times New Roman" w:hAnsi="Times New Roman" w:cs="Times New Roman"/>
          <w:sz w:val="28"/>
          <w:szCs w:val="28"/>
        </w:rPr>
        <w:t xml:space="preserve"> СПРАВЕДЛИВАЯ РОССИЯ - ПАТРИОТЫ – ЗА ПРАВДУ</w:t>
      </w:r>
      <w:r w:rsidR="00F42060">
        <w:rPr>
          <w:rFonts w:ascii="Times New Roman" w:hAnsi="Times New Roman"/>
          <w:sz w:val="28"/>
          <w:szCs w:val="28"/>
        </w:rPr>
        <w:t>.</w:t>
      </w:r>
    </w:p>
    <w:p w:rsidR="00740E54" w:rsidRDefault="00F42060" w:rsidP="00F4206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Определить число депутатских мандатов, полученных каждым допущенным к распределению депутатских мандатов</w:t>
      </w:r>
      <w:r w:rsidRPr="00F42060">
        <w:rPr>
          <w:rFonts w:ascii="Times New Roman" w:hAnsi="Times New Roman"/>
          <w:sz w:val="28"/>
          <w:szCs w:val="28"/>
        </w:rPr>
        <w:t xml:space="preserve"> </w:t>
      </w:r>
      <w:r w:rsidR="00B943BC"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Совета народных депутатов Калтанского городского округа шестого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созыва  избирательным объединением, соответственно методике пропорционального распределения депутатских мандатов (Приложение).</w:t>
      </w:r>
    </w:p>
    <w:p w:rsidR="00F42060" w:rsidRDefault="00F42060" w:rsidP="00F4206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Зарегистрировать депутатов 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Совета народных депутатов Калтанского городского округа шестого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созыва, избранных по итогам голосования на выборах депутатов  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Совета народных депутатов Калтанского городского округа шестого созыва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19 сентября 2021 года.</w:t>
      </w:r>
    </w:p>
    <w:p w:rsidR="00F42060" w:rsidRDefault="00F42060" w:rsidP="00F4206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Выдать депутатам 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Совета народных депутатов Калтанского городского округа шестого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созыва, избранным по итогам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голосования на выборах депутатов  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Совета народных депутатов Калтанского городского округа шестого созыва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19 сентября 2021 года, удостоверения установленного образца.</w:t>
      </w:r>
    </w:p>
    <w:p w:rsidR="00F42060" w:rsidRDefault="00F42060" w:rsidP="00F4206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Направить настоящее решение допущенным к распределению депутатских мандатов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Совета народных депутатов Калтанского городского округа шестого созыва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избирательным объединениям.</w:t>
      </w:r>
    </w:p>
    <w:p w:rsidR="00F42060" w:rsidRPr="00F42060" w:rsidRDefault="00F42060" w:rsidP="00F42060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Направить настоящее решение </w:t>
      </w:r>
      <w:r w:rsidR="00D81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избранным депутатам</w:t>
      </w:r>
      <w:r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Совета народных депутатов Калтанского городского округа шестого созыва</w:t>
      </w:r>
      <w:r w:rsidR="00D81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EA68E3" w:rsidRDefault="00754107" w:rsidP="00754107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54107">
        <w:rPr>
          <w:rFonts w:ascii="Times New Roman" w:hAnsi="Times New Roman" w:cs="Times New Roman"/>
          <w:bCs/>
          <w:sz w:val="28"/>
        </w:rPr>
        <w:t xml:space="preserve">3. </w:t>
      </w:r>
      <w:r>
        <w:rPr>
          <w:rFonts w:ascii="Times New Roman" w:hAnsi="Times New Roman" w:cs="Times New Roman"/>
          <w:bCs/>
          <w:sz w:val="28"/>
        </w:rPr>
        <w:t>Опубликовать настоящее решение</w:t>
      </w:r>
      <w:r w:rsidR="00D81CDE">
        <w:rPr>
          <w:rFonts w:ascii="Times New Roman" w:hAnsi="Times New Roman" w:cs="Times New Roman"/>
          <w:bCs/>
          <w:sz w:val="28"/>
        </w:rPr>
        <w:t xml:space="preserve"> и данные о числе голосов, полученных каждым допущенным к распределению депутатских мандатов</w:t>
      </w:r>
      <w:r w:rsidR="00D81CDE"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Совета народных депутатов Калтанского городского округа шестого</w:t>
      </w:r>
      <w:r w:rsidR="00D81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созыва</w:t>
      </w:r>
      <w:r w:rsidR="00D81CDE">
        <w:rPr>
          <w:rFonts w:ascii="Times New Roman" w:hAnsi="Times New Roman" w:cs="Times New Roman"/>
          <w:bCs/>
          <w:sz w:val="28"/>
        </w:rPr>
        <w:t xml:space="preserve">  избирательным объединением по единому избирательному округу </w:t>
      </w:r>
      <w:r w:rsidR="00D81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Калтанского городского округа, на официальном сайте администрации</w:t>
      </w:r>
      <w:r w:rsidR="00D81CDE" w:rsidRPr="00D81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D81CDE" w:rsidRPr="00F4206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Калтанского городского округа</w:t>
      </w:r>
      <w:r w:rsidR="00D81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в разделе «Избирательная комиссия», а также в еженедельной городской </w:t>
      </w:r>
      <w:r>
        <w:rPr>
          <w:rFonts w:ascii="Times New Roman" w:hAnsi="Times New Roman" w:cs="Times New Roman"/>
          <w:bCs/>
          <w:sz w:val="28"/>
        </w:rPr>
        <w:t xml:space="preserve"> газете «Калтанский вестник»</w:t>
      </w:r>
      <w:r w:rsidR="00D81CDE">
        <w:rPr>
          <w:rFonts w:ascii="Times New Roman" w:hAnsi="Times New Roman" w:cs="Times New Roman"/>
          <w:bCs/>
          <w:sz w:val="28"/>
        </w:rPr>
        <w:t xml:space="preserve"> в соответствии с п. 2 ст. 21</w:t>
      </w:r>
      <w:r w:rsidR="00D81CDE" w:rsidRPr="00D81CDE">
        <w:rPr>
          <w:rFonts w:ascii="Times New Roman" w:hAnsi="Times New Roman"/>
          <w:sz w:val="28"/>
          <w:szCs w:val="28"/>
        </w:rPr>
        <w:t xml:space="preserve"> </w:t>
      </w:r>
      <w:r w:rsidR="00D81CDE" w:rsidRPr="0032656D">
        <w:rPr>
          <w:rFonts w:ascii="Times New Roman" w:hAnsi="Times New Roman"/>
          <w:sz w:val="28"/>
          <w:szCs w:val="28"/>
        </w:rPr>
        <w:t>Закона Кемеровской области от 30.05.2011 № 54-ОЗ « О выборах в органы местного самоуправления в Кемеровской области - Кузбасса»</w:t>
      </w:r>
      <w:r w:rsidR="00D81CD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.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D81CDE">
        <w:rPr>
          <w:rFonts w:ascii="Times New Roman" w:hAnsi="Times New Roman" w:cs="Times New Roman"/>
          <w:bCs/>
          <w:sz w:val="28"/>
        </w:rPr>
        <w:t>4. Контроль за исполнением</w:t>
      </w:r>
      <w:r>
        <w:rPr>
          <w:rFonts w:ascii="Times New Roman" w:hAnsi="Times New Roman" w:cs="Times New Roman"/>
          <w:bCs/>
          <w:sz w:val="28"/>
        </w:rPr>
        <w:t xml:space="preserve"> настоящего решения возложить на председателя Избирательной комиссии Калтанского городского округа </w:t>
      </w:r>
      <w:r w:rsidR="00FC7728">
        <w:rPr>
          <w:rFonts w:ascii="Times New Roman" w:hAnsi="Times New Roman" w:cs="Times New Roman"/>
          <w:bCs/>
          <w:sz w:val="28"/>
        </w:rPr>
        <w:t>Н.В. Степанчук</w:t>
      </w:r>
      <w:r w:rsidR="007B6C8E">
        <w:rPr>
          <w:rFonts w:ascii="Times New Roman" w:hAnsi="Times New Roman" w:cs="Times New Roman"/>
          <w:bCs/>
          <w:sz w:val="28"/>
        </w:rPr>
        <w:t>.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754107" w:rsidRDefault="00754107" w:rsidP="00D34936">
      <w:pPr>
        <w:jc w:val="both"/>
        <w:rPr>
          <w:rFonts w:ascii="Times New Roman" w:hAnsi="Times New Roman" w:cs="Times New Roman"/>
          <w:bCs/>
          <w:sz w:val="28"/>
        </w:rPr>
      </w:pPr>
    </w:p>
    <w:p w:rsidR="00754107" w:rsidRPr="00754107" w:rsidRDefault="00754107" w:rsidP="00D34936">
      <w:pPr>
        <w:jc w:val="both"/>
        <w:rPr>
          <w:rFonts w:ascii="Times New Roman" w:hAnsi="Times New Roman" w:cs="Times New Roman"/>
          <w:bCs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Председатель </w:t>
      </w:r>
      <w:r w:rsidR="00404391">
        <w:rPr>
          <w:rFonts w:ascii="Times New Roman" w:hAnsi="Times New Roman" w:cs="Times New Roman"/>
          <w:sz w:val="28"/>
          <w:szCs w:val="26"/>
        </w:rPr>
        <w:t>И</w:t>
      </w:r>
      <w:r w:rsidRPr="0011396D">
        <w:rPr>
          <w:rFonts w:ascii="Times New Roman" w:hAnsi="Times New Roman" w:cs="Times New Roman"/>
          <w:sz w:val="28"/>
          <w:szCs w:val="26"/>
        </w:rPr>
        <w:t xml:space="preserve">збирательной комиссии 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Pr="0011396D">
        <w:rPr>
          <w:rFonts w:ascii="Times New Roman" w:hAnsi="Times New Roman" w:cs="Times New Roman"/>
          <w:sz w:val="28"/>
          <w:szCs w:val="26"/>
        </w:rPr>
        <w:t xml:space="preserve">            </w:t>
      </w:r>
      <w:r w:rsidR="00FC7728" w:rsidRPr="0011396D">
        <w:rPr>
          <w:rFonts w:ascii="Times New Roman" w:hAnsi="Times New Roman" w:cs="Times New Roman"/>
          <w:sz w:val="28"/>
          <w:szCs w:val="26"/>
        </w:rPr>
        <w:t>Н.В. Степанч</w:t>
      </w:r>
      <w:r w:rsidR="00FC7728">
        <w:rPr>
          <w:rFonts w:ascii="Times New Roman" w:hAnsi="Times New Roman" w:cs="Times New Roman"/>
          <w:sz w:val="28"/>
          <w:szCs w:val="26"/>
        </w:rPr>
        <w:t>ук</w:t>
      </w: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</w:p>
    <w:p w:rsidR="002E4490" w:rsidRPr="0011396D" w:rsidRDefault="002E4490" w:rsidP="002E4490">
      <w:pPr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Секретарь </w:t>
      </w:r>
      <w:r w:rsidR="00404391">
        <w:rPr>
          <w:rFonts w:ascii="Times New Roman" w:hAnsi="Times New Roman" w:cs="Times New Roman"/>
          <w:sz w:val="28"/>
          <w:szCs w:val="26"/>
        </w:rPr>
        <w:t>И</w:t>
      </w:r>
      <w:r w:rsidRPr="0011396D">
        <w:rPr>
          <w:rFonts w:ascii="Times New Roman" w:hAnsi="Times New Roman" w:cs="Times New Roman"/>
          <w:sz w:val="28"/>
          <w:szCs w:val="26"/>
        </w:rPr>
        <w:t xml:space="preserve">збирательной комиссии                                                        </w:t>
      </w:r>
    </w:p>
    <w:p w:rsidR="002E4490" w:rsidRDefault="002E4490" w:rsidP="00FC7728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11396D">
        <w:rPr>
          <w:rFonts w:ascii="Times New Roman" w:hAnsi="Times New Roman" w:cs="Times New Roman"/>
          <w:sz w:val="28"/>
          <w:szCs w:val="26"/>
        </w:rPr>
        <w:t xml:space="preserve">Калтанского городского округа                       </w:t>
      </w:r>
      <w:r w:rsidR="0011396D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FC7728">
        <w:rPr>
          <w:rFonts w:ascii="Times New Roman" w:hAnsi="Times New Roman" w:cs="Times New Roman"/>
          <w:sz w:val="28"/>
          <w:szCs w:val="26"/>
        </w:rPr>
        <w:t xml:space="preserve">      Н.А. Ярушкина</w:t>
      </w: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A68E3" w:rsidRDefault="00EA68E3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824C8F" w:rsidRDefault="00824C8F" w:rsidP="002E4490">
      <w:pPr>
        <w:jc w:val="both"/>
        <w:rPr>
          <w:rFonts w:ascii="Times New Roman" w:hAnsi="Times New Roman" w:cs="Times New Roman"/>
          <w:sz w:val="28"/>
          <w:szCs w:val="26"/>
        </w:rPr>
        <w:sectPr w:rsidR="00824C8F" w:rsidSect="007B6C8E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824C8F" w:rsidRPr="007B6C8E" w:rsidRDefault="00824C8F" w:rsidP="00824C8F">
      <w:pPr>
        <w:widowControl/>
        <w:tabs>
          <w:tab w:val="left" w:pos="129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ab/>
      </w:r>
      <w:r w:rsidRPr="007B6C8E">
        <w:rPr>
          <w:rFonts w:ascii="Times New Roman" w:hAnsi="Times New Roman" w:cs="Times New Roman"/>
          <w:sz w:val="20"/>
          <w:szCs w:val="20"/>
        </w:rPr>
        <w:t>Приложение</w:t>
      </w:r>
    </w:p>
    <w:p w:rsidR="00824C8F" w:rsidRPr="007B6C8E" w:rsidRDefault="00824C8F" w:rsidP="00824C8F">
      <w:pPr>
        <w:widowControl/>
        <w:tabs>
          <w:tab w:val="left" w:pos="12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6C8E">
        <w:rPr>
          <w:rFonts w:ascii="Times New Roman" w:hAnsi="Times New Roman" w:cs="Times New Roman"/>
          <w:sz w:val="20"/>
          <w:szCs w:val="20"/>
        </w:rPr>
        <w:t>к Решению Избирательной комиссии Калтанского городского округа</w:t>
      </w:r>
    </w:p>
    <w:p w:rsidR="00824C8F" w:rsidRPr="007B6C8E" w:rsidRDefault="00824C8F" w:rsidP="00824C8F">
      <w:pPr>
        <w:widowControl/>
        <w:tabs>
          <w:tab w:val="left" w:pos="12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6C8E">
        <w:rPr>
          <w:rFonts w:ascii="Times New Roman" w:hAnsi="Times New Roman" w:cs="Times New Roman"/>
          <w:sz w:val="20"/>
          <w:szCs w:val="20"/>
        </w:rPr>
        <w:t>от 22.09.2021 № 131 «</w:t>
      </w:r>
      <w:r w:rsidR="00352298" w:rsidRPr="007B6C8E">
        <w:rPr>
          <w:rFonts w:ascii="Times New Roman" w:hAnsi="Times New Roman" w:cs="Times New Roman"/>
          <w:sz w:val="20"/>
          <w:szCs w:val="20"/>
        </w:rPr>
        <w:t>О</w:t>
      </w:r>
      <w:r w:rsidRPr="007B6C8E">
        <w:rPr>
          <w:rFonts w:ascii="Times New Roman" w:hAnsi="Times New Roman" w:cs="Times New Roman"/>
          <w:sz w:val="20"/>
          <w:szCs w:val="20"/>
        </w:rPr>
        <w:t xml:space="preserve"> результатах  выборов депутатов Совета народных депутатов Калтанского</w:t>
      </w:r>
    </w:p>
    <w:p w:rsidR="00824C8F" w:rsidRPr="007B6C8E" w:rsidRDefault="00824C8F" w:rsidP="00824C8F">
      <w:pPr>
        <w:widowControl/>
        <w:tabs>
          <w:tab w:val="left" w:pos="1294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6C8E">
        <w:rPr>
          <w:rFonts w:ascii="Times New Roman" w:hAnsi="Times New Roman" w:cs="Times New Roman"/>
          <w:sz w:val="20"/>
          <w:szCs w:val="20"/>
        </w:rPr>
        <w:t xml:space="preserve"> городского округа шестого созыва по единому избирательному округу</w:t>
      </w:r>
      <w:r w:rsidR="007B6C8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7B6C8E">
        <w:rPr>
          <w:rFonts w:ascii="Times New Roman" w:hAnsi="Times New Roman" w:cs="Times New Roman"/>
          <w:sz w:val="20"/>
          <w:szCs w:val="20"/>
        </w:rPr>
        <w:t>19 сентября 2021 года»</w:t>
      </w:r>
    </w:p>
    <w:p w:rsidR="007B6C8E" w:rsidRDefault="007B6C8E" w:rsidP="00352298">
      <w:pPr>
        <w:widowControl/>
        <w:tabs>
          <w:tab w:val="left" w:pos="8190"/>
        </w:tabs>
        <w:jc w:val="center"/>
        <w:rPr>
          <w:rFonts w:ascii="Times New Roman" w:hAnsi="Times New Roman" w:cs="Times New Roman"/>
          <w:b/>
        </w:rPr>
      </w:pPr>
    </w:p>
    <w:p w:rsidR="00824C8F" w:rsidRPr="007B6C8E" w:rsidRDefault="00824C8F" w:rsidP="00352298">
      <w:pPr>
        <w:widowControl/>
        <w:tabs>
          <w:tab w:val="left" w:pos="8190"/>
        </w:tabs>
        <w:jc w:val="center"/>
        <w:rPr>
          <w:rFonts w:ascii="Times New Roman" w:hAnsi="Times New Roman" w:cs="Times New Roman"/>
          <w:b/>
        </w:rPr>
      </w:pPr>
      <w:r w:rsidRPr="007B6C8E">
        <w:rPr>
          <w:rFonts w:ascii="Times New Roman" w:hAnsi="Times New Roman" w:cs="Times New Roman"/>
          <w:b/>
        </w:rPr>
        <w:t>Данные о числе голосов избирателей, полученных каждым избирательным объединением, допущенных к распределению депутатских мандатов Совета народных депутатов Калтанского городского округа шестого созыва по единому избирательному округу Калтанского городского округа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9"/>
        <w:gridCol w:w="2503"/>
        <w:gridCol w:w="2430"/>
        <w:gridCol w:w="2268"/>
        <w:gridCol w:w="4500"/>
      </w:tblGrid>
      <w:tr w:rsidR="00824C8F" w:rsidTr="00D52B7A">
        <w:tc>
          <w:tcPr>
            <w:tcW w:w="2859" w:type="dxa"/>
          </w:tcPr>
          <w:p w:rsidR="00824C8F" w:rsidRPr="00824C8F" w:rsidRDefault="00824C8F" w:rsidP="00824C8F">
            <w:pPr>
              <w:widowControl/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24C8F">
              <w:rPr>
                <w:rFonts w:ascii="Times New Roman" w:hAnsi="Times New Roman" w:cs="Times New Roman"/>
                <w:b/>
              </w:rPr>
              <w:t>Наименования избирательных объединений, списки кандидатов которых допущены к распределению депутатских мандатов</w:t>
            </w:r>
          </w:p>
        </w:tc>
        <w:tc>
          <w:tcPr>
            <w:tcW w:w="2503" w:type="dxa"/>
          </w:tcPr>
          <w:p w:rsidR="00824C8F" w:rsidRPr="00824C8F" w:rsidRDefault="00824C8F" w:rsidP="00D52B7A">
            <w:pPr>
              <w:widowControl/>
              <w:tabs>
                <w:tab w:val="left" w:pos="8190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зарегистрированных кандидатов</w:t>
            </w:r>
          </w:p>
        </w:tc>
        <w:tc>
          <w:tcPr>
            <w:tcW w:w="2430" w:type="dxa"/>
          </w:tcPr>
          <w:p w:rsidR="00824C8F" w:rsidRPr="00824C8F" w:rsidRDefault="00824C8F" w:rsidP="00D52B7A">
            <w:pPr>
              <w:widowControl/>
              <w:tabs>
                <w:tab w:val="left" w:pos="8190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 голосов (в процентах), поданных за каждый список кандидатов, от числа избирателей, принявших участие в голосовании</w:t>
            </w:r>
          </w:p>
        </w:tc>
        <w:tc>
          <w:tcPr>
            <w:tcW w:w="2268" w:type="dxa"/>
          </w:tcPr>
          <w:p w:rsidR="00824C8F" w:rsidRPr="00824C8F" w:rsidRDefault="00824C8F" w:rsidP="00D52B7A">
            <w:pPr>
              <w:widowControl/>
              <w:tabs>
                <w:tab w:val="left" w:pos="8190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депутатских мандатов, причитающихся каждому из указанных списков </w:t>
            </w:r>
          </w:p>
        </w:tc>
        <w:tc>
          <w:tcPr>
            <w:tcW w:w="4500" w:type="dxa"/>
          </w:tcPr>
          <w:p w:rsidR="00824C8F" w:rsidRPr="00824C8F" w:rsidRDefault="00824C8F" w:rsidP="00D52B7A">
            <w:pPr>
              <w:widowControl/>
              <w:tabs>
                <w:tab w:val="left" w:pos="8190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Фамилии, имена и отчества зарегистрированных кандидатов</w:t>
            </w:r>
            <w:r w:rsidR="00D52B7A">
              <w:rPr>
                <w:rFonts w:ascii="Times New Roman" w:hAnsi="Times New Roman" w:cs="Times New Roman"/>
                <w:b/>
              </w:rPr>
              <w:t>, избранных депутатами  представительного органа муниципального образования, из каждого списка кандидатов, допущенного к распределению депутатских мандатов</w:t>
            </w:r>
          </w:p>
        </w:tc>
      </w:tr>
      <w:tr w:rsidR="00824C8F" w:rsidTr="00D52B7A">
        <w:tc>
          <w:tcPr>
            <w:tcW w:w="2859" w:type="dxa"/>
          </w:tcPr>
          <w:p w:rsidR="00824C8F" w:rsidRDefault="00D52B7A" w:rsidP="00D52B7A">
            <w:pPr>
              <w:widowControl/>
              <w:tabs>
                <w:tab w:val="left" w:pos="8190"/>
              </w:tabs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2503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0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74,43%</w:t>
            </w:r>
          </w:p>
        </w:tc>
        <w:tc>
          <w:tcPr>
            <w:tcW w:w="2268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0" w:type="dxa"/>
          </w:tcPr>
          <w:p w:rsidR="00824C8F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Марина Васильевна</w:t>
            </w:r>
          </w:p>
          <w:p w:rsid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Ивашкина Светлана Викторовна</w:t>
            </w:r>
          </w:p>
          <w:p w:rsid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Кияновский Владимир Семенович</w:t>
            </w:r>
          </w:p>
          <w:p w:rsid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Владимир Николаевич</w:t>
            </w:r>
          </w:p>
          <w:p w:rsid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Дуплин Виктор Максимович</w:t>
            </w:r>
          </w:p>
          <w:p w:rsid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Чемакин Андрей Иванович</w:t>
            </w:r>
          </w:p>
          <w:p w:rsid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Киржакин Виктор Иванович</w:t>
            </w:r>
          </w:p>
          <w:p w:rsidR="00D52B7A" w:rsidRPr="00D52B7A" w:rsidRDefault="00D52B7A" w:rsidP="00D52B7A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Рычкова Татьяна Сергеевна</w:t>
            </w:r>
          </w:p>
        </w:tc>
      </w:tr>
      <w:tr w:rsidR="00824C8F" w:rsidTr="00D52B7A">
        <w:tc>
          <w:tcPr>
            <w:tcW w:w="2859" w:type="dxa"/>
          </w:tcPr>
          <w:p w:rsidR="00824C8F" w:rsidRDefault="00D52B7A" w:rsidP="00D52B7A">
            <w:pPr>
              <w:widowControl/>
              <w:tabs>
                <w:tab w:val="left" w:pos="285"/>
                <w:tab w:val="left" w:pos="8190"/>
              </w:tabs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503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11,81%</w:t>
            </w:r>
          </w:p>
        </w:tc>
        <w:tc>
          <w:tcPr>
            <w:tcW w:w="2268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824C8F" w:rsidRPr="00D52B7A" w:rsidRDefault="00D52B7A" w:rsidP="00D52B7A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Акбаралиева Анастасия Николаевна</w:t>
            </w:r>
          </w:p>
        </w:tc>
      </w:tr>
      <w:tr w:rsidR="00824C8F" w:rsidTr="00D52B7A">
        <w:tc>
          <w:tcPr>
            <w:tcW w:w="2859" w:type="dxa"/>
          </w:tcPr>
          <w:p w:rsidR="00824C8F" w:rsidRDefault="00D52B7A" w:rsidP="00D52B7A">
            <w:pPr>
              <w:widowControl/>
              <w:tabs>
                <w:tab w:val="left" w:pos="8190"/>
              </w:tabs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181D31">
              <w:rPr>
                <w:rFonts w:ascii="Times New Roman" w:hAnsi="Times New Roman"/>
                <w:szCs w:val="28"/>
              </w:rPr>
              <w:t>Социалистическая политическая партия СПРАВЕДЛИВАЯ РОССИЯ - ПАТРИОТЫ – ЗА ПРАВДУ</w:t>
            </w:r>
          </w:p>
        </w:tc>
        <w:tc>
          <w:tcPr>
            <w:tcW w:w="2503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10,90%</w:t>
            </w:r>
          </w:p>
        </w:tc>
        <w:tc>
          <w:tcPr>
            <w:tcW w:w="2268" w:type="dxa"/>
          </w:tcPr>
          <w:p w:rsidR="00824C8F" w:rsidRPr="00D52B7A" w:rsidRDefault="00D52B7A" w:rsidP="00D52B7A">
            <w:pPr>
              <w:widowControl/>
              <w:tabs>
                <w:tab w:val="left" w:pos="81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824C8F" w:rsidRPr="00D52B7A" w:rsidRDefault="00D52B7A" w:rsidP="00D52B7A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19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52B7A">
              <w:rPr>
                <w:rFonts w:ascii="Times New Roman" w:hAnsi="Times New Roman" w:cs="Times New Roman"/>
              </w:rPr>
              <w:t>Воробьева Елена Сергеевна</w:t>
            </w:r>
          </w:p>
        </w:tc>
      </w:tr>
    </w:tbl>
    <w:p w:rsidR="00824C8F" w:rsidRPr="007B6C8E" w:rsidRDefault="007B6C8E" w:rsidP="007B6C8E">
      <w:pPr>
        <w:widowControl/>
        <w:tabs>
          <w:tab w:val="left" w:pos="2127"/>
        </w:tabs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Pr="007B6C8E">
        <w:rPr>
          <w:rFonts w:ascii="Times New Roman" w:hAnsi="Times New Roman" w:cs="Times New Roman"/>
          <w:b/>
        </w:rPr>
        <w:t>Председатель Избирательной комиссии</w:t>
      </w:r>
      <w:r w:rsidRPr="007B6C8E">
        <w:rPr>
          <w:rFonts w:ascii="Times New Roman" w:hAnsi="Times New Roman" w:cs="Times New Roman"/>
          <w:b/>
        </w:rPr>
        <w:tab/>
      </w:r>
      <w:r w:rsidRPr="007B6C8E">
        <w:rPr>
          <w:rFonts w:ascii="Times New Roman" w:hAnsi="Times New Roman" w:cs="Times New Roman"/>
          <w:b/>
        </w:rPr>
        <w:tab/>
      </w:r>
      <w:r w:rsidRPr="007B6C8E">
        <w:rPr>
          <w:rFonts w:ascii="Times New Roman" w:hAnsi="Times New Roman" w:cs="Times New Roman"/>
          <w:b/>
        </w:rPr>
        <w:tab/>
      </w:r>
      <w:r w:rsidRPr="007B6C8E">
        <w:rPr>
          <w:rFonts w:ascii="Times New Roman" w:hAnsi="Times New Roman" w:cs="Times New Roman"/>
          <w:b/>
        </w:rPr>
        <w:tab/>
      </w:r>
      <w:r w:rsidRPr="007B6C8E">
        <w:rPr>
          <w:rFonts w:ascii="Times New Roman" w:hAnsi="Times New Roman" w:cs="Times New Roman"/>
          <w:b/>
        </w:rPr>
        <w:tab/>
        <w:t>Н.В. Степанчук</w:t>
      </w:r>
      <w:r w:rsidR="00824C8F" w:rsidRPr="007B6C8E">
        <w:rPr>
          <w:rFonts w:ascii="Times New Roman" w:hAnsi="Times New Roman" w:cs="Times New Roman"/>
          <w:b/>
        </w:rPr>
        <w:t xml:space="preserve"> </w:t>
      </w:r>
    </w:p>
    <w:sectPr w:rsidR="00824C8F" w:rsidRPr="007B6C8E" w:rsidSect="00D52B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C8F" w:rsidRDefault="00824C8F" w:rsidP="00824C8F">
      <w:r>
        <w:separator/>
      </w:r>
    </w:p>
  </w:endnote>
  <w:endnote w:type="continuationSeparator" w:id="0">
    <w:p w:rsidR="00824C8F" w:rsidRDefault="00824C8F" w:rsidP="0082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C8F" w:rsidRDefault="00824C8F" w:rsidP="00824C8F">
      <w:r>
        <w:separator/>
      </w:r>
    </w:p>
  </w:footnote>
  <w:footnote w:type="continuationSeparator" w:id="0">
    <w:p w:rsidR="00824C8F" w:rsidRDefault="00824C8F" w:rsidP="0082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C51"/>
    <w:multiLevelType w:val="hybridMultilevel"/>
    <w:tmpl w:val="7D64CFE6"/>
    <w:lvl w:ilvl="0" w:tplc="414673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33558"/>
    <w:multiLevelType w:val="hybridMultilevel"/>
    <w:tmpl w:val="B428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AAE"/>
    <w:multiLevelType w:val="hybridMultilevel"/>
    <w:tmpl w:val="810ADBBA"/>
    <w:lvl w:ilvl="0" w:tplc="45229E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1544D62"/>
    <w:multiLevelType w:val="hybridMultilevel"/>
    <w:tmpl w:val="3D42733A"/>
    <w:lvl w:ilvl="0" w:tplc="3816164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232B8"/>
    <w:multiLevelType w:val="hybridMultilevel"/>
    <w:tmpl w:val="3650E196"/>
    <w:lvl w:ilvl="0" w:tplc="57F4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6D7777"/>
    <w:multiLevelType w:val="hybridMultilevel"/>
    <w:tmpl w:val="BE22A458"/>
    <w:lvl w:ilvl="0" w:tplc="446C7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D4362D"/>
    <w:multiLevelType w:val="hybridMultilevel"/>
    <w:tmpl w:val="864EC2B0"/>
    <w:lvl w:ilvl="0" w:tplc="942498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0B2B11"/>
    <w:multiLevelType w:val="hybridMultilevel"/>
    <w:tmpl w:val="82904436"/>
    <w:lvl w:ilvl="0" w:tplc="70281D9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8563008"/>
    <w:multiLevelType w:val="hybridMultilevel"/>
    <w:tmpl w:val="A4EE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642B5"/>
    <w:multiLevelType w:val="hybridMultilevel"/>
    <w:tmpl w:val="A5A6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6"/>
    <w:rsid w:val="0001722F"/>
    <w:rsid w:val="000871E5"/>
    <w:rsid w:val="000A2EC7"/>
    <w:rsid w:val="000A51C4"/>
    <w:rsid w:val="000B5287"/>
    <w:rsid w:val="000C5AB5"/>
    <w:rsid w:val="000F4D96"/>
    <w:rsid w:val="000F63E8"/>
    <w:rsid w:val="000F7C70"/>
    <w:rsid w:val="0011396D"/>
    <w:rsid w:val="0012165C"/>
    <w:rsid w:val="0012436E"/>
    <w:rsid w:val="00160BB7"/>
    <w:rsid w:val="001E2995"/>
    <w:rsid w:val="00221981"/>
    <w:rsid w:val="002249F3"/>
    <w:rsid w:val="00231888"/>
    <w:rsid w:val="002425D8"/>
    <w:rsid w:val="00263589"/>
    <w:rsid w:val="00265681"/>
    <w:rsid w:val="002731E1"/>
    <w:rsid w:val="00284D9C"/>
    <w:rsid w:val="0029108E"/>
    <w:rsid w:val="002D2F8C"/>
    <w:rsid w:val="002E4490"/>
    <w:rsid w:val="002E7C80"/>
    <w:rsid w:val="002F5D09"/>
    <w:rsid w:val="003006E7"/>
    <w:rsid w:val="00310703"/>
    <w:rsid w:val="003125BC"/>
    <w:rsid w:val="0031406F"/>
    <w:rsid w:val="003151D9"/>
    <w:rsid w:val="0032656D"/>
    <w:rsid w:val="00352298"/>
    <w:rsid w:val="003639FA"/>
    <w:rsid w:val="0038488C"/>
    <w:rsid w:val="0039347F"/>
    <w:rsid w:val="00393E4E"/>
    <w:rsid w:val="00397F8C"/>
    <w:rsid w:val="003B2158"/>
    <w:rsid w:val="003C3A39"/>
    <w:rsid w:val="003E2CAC"/>
    <w:rsid w:val="00400D9C"/>
    <w:rsid w:val="00402CB5"/>
    <w:rsid w:val="00404391"/>
    <w:rsid w:val="004052B4"/>
    <w:rsid w:val="00406D5C"/>
    <w:rsid w:val="00415EDE"/>
    <w:rsid w:val="00420C55"/>
    <w:rsid w:val="0042155D"/>
    <w:rsid w:val="00421FA5"/>
    <w:rsid w:val="00425773"/>
    <w:rsid w:val="00426E19"/>
    <w:rsid w:val="0043585E"/>
    <w:rsid w:val="00447880"/>
    <w:rsid w:val="00447985"/>
    <w:rsid w:val="00461A45"/>
    <w:rsid w:val="00462298"/>
    <w:rsid w:val="0046284E"/>
    <w:rsid w:val="00500E80"/>
    <w:rsid w:val="00525C72"/>
    <w:rsid w:val="00535130"/>
    <w:rsid w:val="005462A3"/>
    <w:rsid w:val="005474F4"/>
    <w:rsid w:val="0055092C"/>
    <w:rsid w:val="00561A15"/>
    <w:rsid w:val="00562F3D"/>
    <w:rsid w:val="00563C8A"/>
    <w:rsid w:val="00573D31"/>
    <w:rsid w:val="005837A3"/>
    <w:rsid w:val="0059704F"/>
    <w:rsid w:val="00597FBA"/>
    <w:rsid w:val="005A670A"/>
    <w:rsid w:val="005F77D5"/>
    <w:rsid w:val="00627DE9"/>
    <w:rsid w:val="0064302B"/>
    <w:rsid w:val="00666A84"/>
    <w:rsid w:val="00682308"/>
    <w:rsid w:val="006910CD"/>
    <w:rsid w:val="006A0DD8"/>
    <w:rsid w:val="006A2FF1"/>
    <w:rsid w:val="006D5341"/>
    <w:rsid w:val="0072246B"/>
    <w:rsid w:val="00727918"/>
    <w:rsid w:val="00740E54"/>
    <w:rsid w:val="007446D3"/>
    <w:rsid w:val="00751C9C"/>
    <w:rsid w:val="00754107"/>
    <w:rsid w:val="007635D8"/>
    <w:rsid w:val="007862B6"/>
    <w:rsid w:val="00791D56"/>
    <w:rsid w:val="00797C9A"/>
    <w:rsid w:val="007A2349"/>
    <w:rsid w:val="007B396A"/>
    <w:rsid w:val="007B6C8E"/>
    <w:rsid w:val="007C1530"/>
    <w:rsid w:val="007E1CE4"/>
    <w:rsid w:val="00804066"/>
    <w:rsid w:val="00822500"/>
    <w:rsid w:val="00824C8F"/>
    <w:rsid w:val="008329F9"/>
    <w:rsid w:val="00841558"/>
    <w:rsid w:val="00876137"/>
    <w:rsid w:val="008803F4"/>
    <w:rsid w:val="00892962"/>
    <w:rsid w:val="008958BA"/>
    <w:rsid w:val="008B1EDB"/>
    <w:rsid w:val="008B4760"/>
    <w:rsid w:val="008D1430"/>
    <w:rsid w:val="008D2EBC"/>
    <w:rsid w:val="008E3CD7"/>
    <w:rsid w:val="008E51DB"/>
    <w:rsid w:val="008E7F12"/>
    <w:rsid w:val="008F3710"/>
    <w:rsid w:val="00906A16"/>
    <w:rsid w:val="00922D22"/>
    <w:rsid w:val="00932FE7"/>
    <w:rsid w:val="0093500F"/>
    <w:rsid w:val="009563C7"/>
    <w:rsid w:val="009579EC"/>
    <w:rsid w:val="00992035"/>
    <w:rsid w:val="009B0475"/>
    <w:rsid w:val="009B3E34"/>
    <w:rsid w:val="009C4CDC"/>
    <w:rsid w:val="009C6D00"/>
    <w:rsid w:val="00A00B6B"/>
    <w:rsid w:val="00A0640E"/>
    <w:rsid w:val="00A11F16"/>
    <w:rsid w:val="00A125DA"/>
    <w:rsid w:val="00A21334"/>
    <w:rsid w:val="00A23C64"/>
    <w:rsid w:val="00A27090"/>
    <w:rsid w:val="00A27FF8"/>
    <w:rsid w:val="00A52226"/>
    <w:rsid w:val="00A66899"/>
    <w:rsid w:val="00A94030"/>
    <w:rsid w:val="00AA0749"/>
    <w:rsid w:val="00AB11EA"/>
    <w:rsid w:val="00AB427B"/>
    <w:rsid w:val="00AC3D2E"/>
    <w:rsid w:val="00AD266E"/>
    <w:rsid w:val="00AD44B7"/>
    <w:rsid w:val="00AD6E6B"/>
    <w:rsid w:val="00AF45AA"/>
    <w:rsid w:val="00B164F6"/>
    <w:rsid w:val="00B56133"/>
    <w:rsid w:val="00B56696"/>
    <w:rsid w:val="00B632B1"/>
    <w:rsid w:val="00B75302"/>
    <w:rsid w:val="00B943BC"/>
    <w:rsid w:val="00BA6376"/>
    <w:rsid w:val="00BB41A2"/>
    <w:rsid w:val="00BB5CBE"/>
    <w:rsid w:val="00BC114D"/>
    <w:rsid w:val="00BC7246"/>
    <w:rsid w:val="00BE603A"/>
    <w:rsid w:val="00C0085B"/>
    <w:rsid w:val="00C20172"/>
    <w:rsid w:val="00C24CF3"/>
    <w:rsid w:val="00C40716"/>
    <w:rsid w:val="00C43943"/>
    <w:rsid w:val="00C47489"/>
    <w:rsid w:val="00C7733E"/>
    <w:rsid w:val="00C8011C"/>
    <w:rsid w:val="00C83D02"/>
    <w:rsid w:val="00C90160"/>
    <w:rsid w:val="00C92F2D"/>
    <w:rsid w:val="00C9662F"/>
    <w:rsid w:val="00CA5B8F"/>
    <w:rsid w:val="00CC28FD"/>
    <w:rsid w:val="00CD0977"/>
    <w:rsid w:val="00CF1A8E"/>
    <w:rsid w:val="00D17091"/>
    <w:rsid w:val="00D34936"/>
    <w:rsid w:val="00D52B7A"/>
    <w:rsid w:val="00D81CDE"/>
    <w:rsid w:val="00D86CA9"/>
    <w:rsid w:val="00D916B0"/>
    <w:rsid w:val="00DA2483"/>
    <w:rsid w:val="00DB2C6D"/>
    <w:rsid w:val="00DE1063"/>
    <w:rsid w:val="00DE6D14"/>
    <w:rsid w:val="00DF2042"/>
    <w:rsid w:val="00DF2727"/>
    <w:rsid w:val="00E1359A"/>
    <w:rsid w:val="00E415FE"/>
    <w:rsid w:val="00E4252F"/>
    <w:rsid w:val="00E435D5"/>
    <w:rsid w:val="00E50F45"/>
    <w:rsid w:val="00E63148"/>
    <w:rsid w:val="00E66C8E"/>
    <w:rsid w:val="00E75336"/>
    <w:rsid w:val="00E81716"/>
    <w:rsid w:val="00E90B4E"/>
    <w:rsid w:val="00EA6536"/>
    <w:rsid w:val="00EA68E3"/>
    <w:rsid w:val="00EF62F0"/>
    <w:rsid w:val="00F121FA"/>
    <w:rsid w:val="00F41221"/>
    <w:rsid w:val="00F42060"/>
    <w:rsid w:val="00F4576D"/>
    <w:rsid w:val="00F744F5"/>
    <w:rsid w:val="00F905A8"/>
    <w:rsid w:val="00FA7080"/>
    <w:rsid w:val="00FB532D"/>
    <w:rsid w:val="00FC203F"/>
    <w:rsid w:val="00FC7728"/>
    <w:rsid w:val="00FD2672"/>
    <w:rsid w:val="00FD7675"/>
    <w:rsid w:val="00FE48F2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EF5"/>
  <w15:docId w15:val="{C9BD96AD-B5B2-432D-83EB-F90CA84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92962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929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6">
    <w:name w:val="Основной текст (16)"/>
    <w:basedOn w:val="a0"/>
    <w:rsid w:val="00892962"/>
    <w:rPr>
      <w:i/>
      <w:iCs/>
      <w:sz w:val="18"/>
      <w:szCs w:val="18"/>
      <w:lang w:bidi="ar-SA"/>
    </w:rPr>
  </w:style>
  <w:style w:type="character" w:customStyle="1" w:styleId="27">
    <w:name w:val="Основной текст (27)"/>
    <w:basedOn w:val="a0"/>
    <w:rsid w:val="00892962"/>
    <w:rPr>
      <w:sz w:val="18"/>
      <w:szCs w:val="18"/>
      <w:lang w:bidi="ar-SA"/>
    </w:rPr>
  </w:style>
  <w:style w:type="character" w:customStyle="1" w:styleId="272pt">
    <w:name w:val="Основной текст (27) + Интервал 2 pt"/>
    <w:basedOn w:val="a0"/>
    <w:rsid w:val="00892962"/>
    <w:rPr>
      <w:spacing w:val="40"/>
      <w:sz w:val="18"/>
      <w:szCs w:val="18"/>
      <w:lang w:bidi="ar-SA"/>
    </w:rPr>
  </w:style>
  <w:style w:type="character" w:customStyle="1" w:styleId="28">
    <w:name w:val="Основной текст (28)"/>
    <w:basedOn w:val="a0"/>
    <w:rsid w:val="00892962"/>
    <w:rPr>
      <w:b/>
      <w:bCs/>
      <w:sz w:val="18"/>
      <w:szCs w:val="18"/>
      <w:lang w:bidi="ar-SA"/>
    </w:rPr>
  </w:style>
  <w:style w:type="character" w:customStyle="1" w:styleId="29">
    <w:name w:val="Основной текст (29)"/>
    <w:basedOn w:val="a0"/>
    <w:rsid w:val="00892962"/>
    <w:rPr>
      <w:sz w:val="18"/>
      <w:szCs w:val="18"/>
      <w:lang w:bidi="ar-SA"/>
    </w:rPr>
  </w:style>
  <w:style w:type="character" w:customStyle="1" w:styleId="283pt">
    <w:name w:val="Основной текст (28) + Интервал 3 pt"/>
    <w:basedOn w:val="a0"/>
    <w:rsid w:val="00892962"/>
    <w:rPr>
      <w:b/>
      <w:bCs/>
      <w:spacing w:val="60"/>
      <w:sz w:val="18"/>
      <w:szCs w:val="18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751C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76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D7675"/>
    <w:pPr>
      <w:shd w:val="clear" w:color="auto" w:fill="FFFFFF"/>
      <w:tabs>
        <w:tab w:val="num" w:pos="1276"/>
      </w:tabs>
      <w:spacing w:after="12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FD76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7675"/>
    <w:pPr>
      <w:shd w:val="clear" w:color="auto" w:fill="FFFFFF"/>
      <w:tabs>
        <w:tab w:val="num" w:pos="1276"/>
      </w:tabs>
      <w:spacing w:after="120"/>
      <w:ind w:left="360"/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7675"/>
    <w:rPr>
      <w:rFonts w:ascii="Times New Roman" w:eastAsiaTheme="minorEastAsia" w:hAnsi="Times New Roman" w:cs="Times New Roman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FD7675"/>
    <w:pPr>
      <w:widowControl/>
      <w:tabs>
        <w:tab w:val="left" w:pos="720"/>
      </w:tabs>
      <w:jc w:val="both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D767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FD7675"/>
    <w:pPr>
      <w:widowControl/>
      <w:jc w:val="center"/>
    </w:pPr>
    <w:rPr>
      <w:rFonts w:ascii="Times New Roman" w:eastAsiaTheme="minorEastAsia" w:hAnsi="Times New Roman" w:cs="Times New Roman"/>
      <w:b/>
      <w:bCs/>
      <w:color w:val="auto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FD767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731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F1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A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4C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4C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4C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4C8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3ED3-D570-493C-94A4-D592DF4F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Степанчук Надежда Вячеславовна</cp:lastModifiedBy>
  <cp:revision>5</cp:revision>
  <cp:lastPrinted>2021-09-22T09:31:00Z</cp:lastPrinted>
  <dcterms:created xsi:type="dcterms:W3CDTF">2021-09-22T03:36:00Z</dcterms:created>
  <dcterms:modified xsi:type="dcterms:W3CDTF">2021-09-22T09:31:00Z</dcterms:modified>
</cp:coreProperties>
</file>